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831F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Zintegrowane podejście do wdrażania roli Advanced Practice Nurse (APN) w Polsce: Model PEPPA jako narzędzie zagospodarowania kompetencji pielęgniarskich oraz wnioski ze szkoły letniej APN w Bernie</w:t>
      </w:r>
    </w:p>
    <w:p w14:paraId="1BDE0CD0" w14:textId="619A7202" w:rsidR="00883A23" w:rsidRPr="00883A23" w:rsidRDefault="00883A23" w:rsidP="00883A23">
      <w:pPr>
        <w:ind w:left="0" w:hanging="2"/>
        <w:rPr>
          <w:lang w:val="pl-PL"/>
        </w:rPr>
      </w:pPr>
      <w:r w:rsidRPr="005D03B2">
        <w:rPr>
          <w:i/>
          <w:iCs/>
          <w:lang w:val="pt-PT"/>
        </w:rPr>
        <w:t xml:space="preserve">Dr hab. n. o zdr. </w:t>
      </w:r>
      <w:r w:rsidRPr="00883A23">
        <w:rPr>
          <w:i/>
          <w:iCs/>
          <w:lang w:val="pl-PL"/>
        </w:rPr>
        <w:t>Dorota Kilańska, prof. UMed</w:t>
      </w:r>
      <w:r>
        <w:rPr>
          <w:i/>
          <w:iCs/>
          <w:lang w:val="pl-PL"/>
        </w:rPr>
        <w:t>.</w:t>
      </w:r>
    </w:p>
    <w:p w14:paraId="309E4528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Wprowadzenie</w:t>
      </w:r>
    </w:p>
    <w:p w14:paraId="42CFCED9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W dobie rosnących wyzwań zdrowotnych, starzejącego się społeczeństwa i niedoborów kadrowych w systemie opieki zdrowotnej, rola pielęgniarek z zaawansowaną praktyką (Advanced Practice Nurse, APN) staje się kluczowa. Modele wdrażania tych ról, takie jak PEPPA (Participatory, Evidence-based, Patient-centred Process for Advanced Practice Nursing Role Development, Implementation and Evaluation), oferują logiczne i systemowe podejście do rozwijania kompetencji pielęgniarskich.</w:t>
      </w:r>
    </w:p>
    <w:p w14:paraId="2CA41196" w14:textId="31EF6B9E" w:rsidR="005D03B2" w:rsidRDefault="005D03B2" w:rsidP="005D03B2">
      <w:pPr>
        <w:ind w:left="0" w:hanging="2"/>
        <w:rPr>
          <w:lang w:val="pl-PL"/>
        </w:rPr>
      </w:pPr>
      <w:r w:rsidRPr="005D03B2">
        <w:rPr>
          <w:lang w:val="pl-PL"/>
        </w:rPr>
        <w:t>W czerwcu 2025 roku odbyła się  międzynarodowa szkoła letnia</w:t>
      </w:r>
      <w:r>
        <w:rPr>
          <w:lang w:val="pl-PL"/>
        </w:rPr>
        <w:t xml:space="preserve"> </w:t>
      </w:r>
      <w:r w:rsidR="00883A23" w:rsidRPr="00883A23">
        <w:rPr>
          <w:lang w:val="pl-PL"/>
        </w:rPr>
        <w:t>"Models of Care with APNs – Leadership, Outcomes and Sustainability" organizowan</w:t>
      </w:r>
      <w:r w:rsidR="005B58E9">
        <w:rPr>
          <w:lang w:val="pl-PL"/>
        </w:rPr>
        <w:t>a</w:t>
      </w:r>
      <w:r w:rsidR="00883A23" w:rsidRPr="00883A23">
        <w:rPr>
          <w:lang w:val="pl-PL"/>
        </w:rPr>
        <w:t xml:space="preserve"> przez Berner Fachhochschule w Berni</w:t>
      </w:r>
      <w:r>
        <w:rPr>
          <w:lang w:val="pl-PL"/>
        </w:rPr>
        <w:t>e (Szwajcaria).</w:t>
      </w:r>
      <w:r w:rsidR="00883A23" w:rsidRPr="00883A23">
        <w:rPr>
          <w:lang w:val="pl-PL"/>
        </w:rPr>
        <w:t xml:space="preserve"> Wydarzenie to stanowiło platformę wymiany wiedzy i doświadczeń w zakresie wdrażania ról APN w Europie i Kanadzie, z naciskiem na wartości dodane, zrównoważony rozwój i opiekę skoncentrowaną na osobie.</w:t>
      </w:r>
    </w:p>
    <w:p w14:paraId="1243E5DD" w14:textId="64BFA93B" w:rsidR="005D03B2" w:rsidRPr="00883A23" w:rsidRDefault="005D03B2" w:rsidP="005D03B2">
      <w:pPr>
        <w:ind w:left="0" w:hanging="2"/>
        <w:rPr>
          <w:lang w:val="pl-PL"/>
        </w:rPr>
      </w:pPr>
      <w:r w:rsidRPr="005D03B2">
        <w:rPr>
          <w:lang w:val="pl-PL"/>
        </w:rPr>
        <w:t>Uniwersytet Medyczny w Łodzi był jedynym reprezentantem Polski podczas wydarzenia, a jego przedstawicielkami z Zakładu Koordynowanej Opieki były: mgr Natalia Biega, prof. dr hab. Dorota Kilańska oraz mgr Barbara Librowska. Uczestniczki dzieliły się swoim doświadczeniem oraz perspektywą wdrażania ról APN w kontekście polskiego systemu opieki zdrowotnej.</w:t>
      </w:r>
    </w:p>
    <w:p w14:paraId="45E07E2B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Model PEPPA: struktura i zastosowanie</w:t>
      </w:r>
    </w:p>
    <w:p w14:paraId="50551AAD" w14:textId="77777777" w:rsidR="00883A23" w:rsidRPr="00883A23" w:rsidRDefault="00883A23" w:rsidP="00883A23">
      <w:pPr>
        <w:ind w:left="0" w:hanging="2"/>
        <w:rPr>
          <w:lang w:val="en-US"/>
        </w:rPr>
      </w:pPr>
      <w:r w:rsidRPr="00883A23">
        <w:rPr>
          <w:lang w:val="pl-PL"/>
        </w:rPr>
        <w:t xml:space="preserve">Model PEPPA został opracowany przez Bryanta-Lukosiusa i DiCenso jako ramy dla rozwoju rôl APN. </w:t>
      </w:r>
      <w:r w:rsidRPr="00883A23">
        <w:rPr>
          <w:lang w:val="en-US"/>
        </w:rPr>
        <w:t>Składa się z trzech faz i dziewięciu kroków:</w:t>
      </w:r>
    </w:p>
    <w:p w14:paraId="6BED3DA1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pl-PL"/>
        </w:rPr>
      </w:pPr>
      <w:r w:rsidRPr="00883A23">
        <w:rPr>
          <w:b/>
          <w:bCs/>
          <w:lang w:val="pl-PL"/>
        </w:rPr>
        <w:t>Identyfikacja problemu i określenie potrzeb zdrowotnych populacji</w:t>
      </w:r>
    </w:p>
    <w:p w14:paraId="07624114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pl-PL"/>
        </w:rPr>
      </w:pPr>
      <w:r w:rsidRPr="00883A23">
        <w:rPr>
          <w:b/>
          <w:bCs/>
          <w:lang w:val="pl-PL"/>
        </w:rPr>
        <w:t>Zaangażowanie interesariuszy (pacjentów, decydentów, pielęgniarek)</w:t>
      </w:r>
    </w:p>
    <w:p w14:paraId="5F674BD8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pl-PL"/>
        </w:rPr>
      </w:pPr>
      <w:r w:rsidRPr="00883A23">
        <w:rPr>
          <w:b/>
          <w:bCs/>
          <w:lang w:val="pl-PL"/>
        </w:rPr>
        <w:t>Przegląd dowodów naukowych i określenie opcji interwencji</w:t>
      </w:r>
    </w:p>
    <w:p w14:paraId="18D5846C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Wybór i zdefiniowanie rôli APN</w:t>
      </w:r>
    </w:p>
    <w:p w14:paraId="5245ECBD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Określenie modeli współpracy w zespole</w:t>
      </w:r>
    </w:p>
    <w:p w14:paraId="5F97EFC4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Przygotowanie strategii implementacji</w:t>
      </w:r>
    </w:p>
    <w:p w14:paraId="62D61BA0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Wdrożenie rôli</w:t>
      </w:r>
    </w:p>
    <w:p w14:paraId="4AEEB8C5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pl-PL"/>
        </w:rPr>
      </w:pPr>
      <w:r w:rsidRPr="00883A23">
        <w:rPr>
          <w:b/>
          <w:bCs/>
          <w:lang w:val="pl-PL"/>
        </w:rPr>
        <w:t>Ewaluacja efektów klinicznych, ekonomicznych i doświadczeń pacjentów</w:t>
      </w:r>
    </w:p>
    <w:p w14:paraId="433329C5" w14:textId="77777777" w:rsidR="00883A23" w:rsidRPr="00883A23" w:rsidRDefault="00883A23" w:rsidP="00883A23">
      <w:pPr>
        <w:numPr>
          <w:ilvl w:val="0"/>
          <w:numId w:val="1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Dostosowanie i trwałość roli</w:t>
      </w:r>
    </w:p>
    <w:p w14:paraId="1CD639FE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lastRenderedPageBreak/>
        <w:t>Model zakłada, że rozwój roli powinien wynikać z potrzeb populacji i być wspierany przez dowody naukowe oraz aktywne uczestnictwo wszystkich stron. W kontekście polskim, model ten może stanowić ramę dla opracowania i testowania pilotaży APN w opiece długoterminowej, POZ, opiece koordynowanej czy prewencji.</w:t>
      </w:r>
    </w:p>
    <w:p w14:paraId="617B8D6D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Doświadczenia z Summer School 2025</w:t>
      </w:r>
    </w:p>
    <w:p w14:paraId="5BED8BBA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Szkoła letnia w Bernie dostarczyła wielu przykładów skutecznego wdrażania APN w systemach zdecentralizowanych, m.in. w Szwajcarii, Irlandii i Kanadzie. Uczestnicy analizowali znaczenie przywództwa klinicznego (model LEADS), rolę środowiska organizacyjnego oraz kultury person-centred care jako podstawy praktyki klinicznej APN. Zaprezentowano również model Person-Centred Lean Six Sigma autorstwa Seána Paula Teelinga, który łączy podejścia jakościowe z humanistycznym ujęciem opieki.</w:t>
      </w:r>
    </w:p>
    <w:p w14:paraId="43164572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Wnioski te są niezwykle cenne w kontekście tworzenia struktur edukacyjnych i wdrożeniowych w Polsce.</w:t>
      </w:r>
    </w:p>
    <w:p w14:paraId="48730F50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Wartość dodana APN dla systemu ochrony zdrowia</w:t>
      </w:r>
    </w:p>
    <w:p w14:paraId="011F554B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Zgodnie z najnowszymi przeglądami systematycznymi (Kilpatrick et al. 2024; Savard et al. 2025), APN wnoszą wymierne wartości:</w:t>
      </w:r>
    </w:p>
    <w:p w14:paraId="2A17E0EF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pl-PL"/>
        </w:rPr>
      </w:pPr>
      <w:r w:rsidRPr="00883A23">
        <w:rPr>
          <w:lang w:val="pl-PL"/>
        </w:rPr>
        <w:t>poprawa dostępności do opieki (zwłaszcza w obszarach deficytowych),</w:t>
      </w:r>
    </w:p>
    <w:p w14:paraId="711CFDA0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en-US"/>
        </w:rPr>
      </w:pPr>
      <w:r w:rsidRPr="00883A23">
        <w:rPr>
          <w:lang w:val="en-US"/>
        </w:rPr>
        <w:t>zwiększenie zadowolenia pacjentów (PREMs),</w:t>
      </w:r>
    </w:p>
    <w:p w14:paraId="003ACF70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en-US"/>
        </w:rPr>
      </w:pPr>
      <w:r w:rsidRPr="00883A23">
        <w:rPr>
          <w:lang w:val="en-US"/>
        </w:rPr>
        <w:t>lepsze efekty zdrowotne (PROMs),</w:t>
      </w:r>
    </w:p>
    <w:p w14:paraId="6B34B18F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en-US"/>
        </w:rPr>
      </w:pPr>
      <w:r w:rsidRPr="00883A23">
        <w:rPr>
          <w:lang w:val="en-US"/>
        </w:rPr>
        <w:t>zmniejszenie kosztów systemowych,</w:t>
      </w:r>
    </w:p>
    <w:p w14:paraId="5F8CABCB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pl-PL"/>
        </w:rPr>
      </w:pPr>
      <w:r w:rsidRPr="00883A23">
        <w:rPr>
          <w:lang w:val="pl-PL"/>
        </w:rPr>
        <w:t>poprawa koordynacji i jakości opieki,</w:t>
      </w:r>
    </w:p>
    <w:p w14:paraId="32A761BD" w14:textId="77777777" w:rsidR="00883A23" w:rsidRPr="00883A23" w:rsidRDefault="00883A23" w:rsidP="00883A23">
      <w:pPr>
        <w:numPr>
          <w:ilvl w:val="0"/>
          <w:numId w:val="2"/>
        </w:numPr>
        <w:ind w:left="0" w:hanging="2"/>
        <w:rPr>
          <w:lang w:val="en-US"/>
        </w:rPr>
      </w:pPr>
      <w:r w:rsidRPr="00883A23">
        <w:rPr>
          <w:lang w:val="en-US"/>
        </w:rPr>
        <w:t>wzmocnienie zespołów międzyprofesjonalnych.</w:t>
      </w:r>
    </w:p>
    <w:p w14:paraId="5A5D6514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b/>
          <w:bCs/>
          <w:lang w:val="pl-PL"/>
        </w:rPr>
        <w:t>Braki w przygotowaniu edukacyjnym: wyzwania i rekomendacje</w:t>
      </w:r>
    </w:p>
    <w:p w14:paraId="4BFB8CCD" w14:textId="77777777" w:rsidR="00883A23" w:rsidRPr="00883A23" w:rsidRDefault="00883A23" w:rsidP="00883A23">
      <w:pPr>
        <w:ind w:left="0" w:hanging="2"/>
        <w:rPr>
          <w:lang w:val="en-US"/>
        </w:rPr>
      </w:pPr>
      <w:r w:rsidRPr="00883A23">
        <w:rPr>
          <w:lang w:val="pl-PL"/>
        </w:rPr>
        <w:t xml:space="preserve">Pomimo dynamicznego rozwoju pielęgniarstwa akademickiego w Polsce, programy kształcenia na poziomie magisterskim i specjalizacyjnym nadal w ograniczonym zakresie przygotowują do roli APN. </w:t>
      </w:r>
      <w:r w:rsidRPr="00883A23">
        <w:rPr>
          <w:lang w:val="en-US"/>
        </w:rPr>
        <w:t>Szczególnego wzmocnienia wymagają następujące obszary:</w:t>
      </w:r>
    </w:p>
    <w:p w14:paraId="0C557AD4" w14:textId="77777777" w:rsidR="00883A23" w:rsidRPr="00883A23" w:rsidRDefault="00883A23" w:rsidP="00883A23">
      <w:pPr>
        <w:numPr>
          <w:ilvl w:val="0"/>
          <w:numId w:val="3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Leadership kliniczny i systemowy</w:t>
      </w:r>
    </w:p>
    <w:p w14:paraId="4655CF23" w14:textId="77777777" w:rsidR="00883A23" w:rsidRPr="00883A23" w:rsidRDefault="00883A23" w:rsidP="00883A23">
      <w:pPr>
        <w:numPr>
          <w:ilvl w:val="1"/>
          <w:numId w:val="3"/>
        </w:numPr>
        <w:ind w:left="0" w:hanging="2"/>
        <w:rPr>
          <w:lang w:val="pl-PL"/>
        </w:rPr>
      </w:pPr>
      <w:r w:rsidRPr="00883A23">
        <w:rPr>
          <w:lang w:val="pl-PL"/>
        </w:rPr>
        <w:t>Brakuje komponentów edukacyjnych dotyczących modelu LEADS, przywództwa transformacyjnego oraz zarządzania zmianą.</w:t>
      </w:r>
    </w:p>
    <w:p w14:paraId="64F84D6D" w14:textId="77777777" w:rsidR="00883A23" w:rsidRPr="00883A23" w:rsidRDefault="00883A23" w:rsidP="00883A23">
      <w:pPr>
        <w:numPr>
          <w:ilvl w:val="0"/>
          <w:numId w:val="3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t>Person-Centred Care</w:t>
      </w:r>
    </w:p>
    <w:p w14:paraId="24BF3507" w14:textId="77777777" w:rsidR="00883A23" w:rsidRPr="00883A23" w:rsidRDefault="00883A23" w:rsidP="00883A23">
      <w:pPr>
        <w:numPr>
          <w:ilvl w:val="1"/>
          <w:numId w:val="3"/>
        </w:numPr>
        <w:ind w:left="0" w:hanging="2"/>
        <w:rPr>
          <w:lang w:val="pl-PL"/>
        </w:rPr>
      </w:pPr>
      <w:r w:rsidRPr="00883A23">
        <w:rPr>
          <w:lang w:val="pl-PL"/>
        </w:rPr>
        <w:t>Zbyt niskie uwrażliwienie programów na wartości, preferencje i kontekst życiowy pacjenta. Należy wdrażać elementy edukacji zgodnej z filozofią person-centred practice (McCormack, Teeling).</w:t>
      </w:r>
    </w:p>
    <w:p w14:paraId="56620CA2" w14:textId="77777777" w:rsidR="00883A23" w:rsidRPr="00883A23" w:rsidRDefault="00883A23" w:rsidP="00883A23">
      <w:pPr>
        <w:numPr>
          <w:ilvl w:val="0"/>
          <w:numId w:val="3"/>
        </w:numPr>
        <w:ind w:left="0" w:hanging="2"/>
        <w:rPr>
          <w:lang w:val="en-US"/>
        </w:rPr>
      </w:pPr>
      <w:r w:rsidRPr="00883A23">
        <w:rPr>
          <w:b/>
          <w:bCs/>
          <w:lang w:val="en-US"/>
        </w:rPr>
        <w:lastRenderedPageBreak/>
        <w:t>Lean Management i poprawa jakości</w:t>
      </w:r>
    </w:p>
    <w:p w14:paraId="0A8B7A72" w14:textId="77777777" w:rsidR="00883A23" w:rsidRPr="00883A23" w:rsidRDefault="00883A23" w:rsidP="00883A23">
      <w:pPr>
        <w:numPr>
          <w:ilvl w:val="1"/>
          <w:numId w:val="3"/>
        </w:numPr>
        <w:ind w:left="0" w:hanging="2"/>
        <w:rPr>
          <w:lang w:val="pl-PL"/>
        </w:rPr>
      </w:pPr>
      <w:r w:rsidRPr="00883A23">
        <w:rPr>
          <w:lang w:val="pl-PL"/>
        </w:rPr>
        <w:t>Brakuje kompetencji z zakresu metodyk Six Sigma, lean management i wdrażania innowacji w procesach opieki.</w:t>
      </w:r>
    </w:p>
    <w:p w14:paraId="23E527DB" w14:textId="77777777" w:rsidR="00883A23" w:rsidRPr="00883A23" w:rsidRDefault="00883A23" w:rsidP="00883A23">
      <w:pPr>
        <w:numPr>
          <w:ilvl w:val="0"/>
          <w:numId w:val="3"/>
        </w:numPr>
        <w:ind w:left="0" w:hanging="2"/>
        <w:rPr>
          <w:lang w:val="pl-PL"/>
        </w:rPr>
      </w:pPr>
      <w:r w:rsidRPr="00883A23">
        <w:rPr>
          <w:b/>
          <w:bCs/>
          <w:lang w:val="pl-PL"/>
        </w:rPr>
        <w:t>Rozumienie polityki zdrowotnej i ekonomiki zdrowia</w:t>
      </w:r>
    </w:p>
    <w:p w14:paraId="2936B821" w14:textId="77777777" w:rsidR="00883A23" w:rsidRPr="00883A23" w:rsidRDefault="00883A23" w:rsidP="00883A23">
      <w:pPr>
        <w:numPr>
          <w:ilvl w:val="1"/>
          <w:numId w:val="3"/>
        </w:numPr>
        <w:ind w:left="0" w:hanging="2"/>
        <w:rPr>
          <w:lang w:val="pl-PL"/>
        </w:rPr>
      </w:pPr>
      <w:r w:rsidRPr="00883A23">
        <w:rPr>
          <w:lang w:val="pl-PL"/>
        </w:rPr>
        <w:t>Edukacja APN powinna obejmować ocenę efektów klinicznych i ekonomicznych (HTA), aby pielęgniarki mogły współdecydować o polityce zdrowotnej.</w:t>
      </w:r>
    </w:p>
    <w:p w14:paraId="1B271522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Samorządy zawodowe mają kluczową rolę w rozwoju i implementacji APN poprzez:</w:t>
      </w:r>
    </w:p>
    <w:p w14:paraId="456289AD" w14:textId="77777777" w:rsidR="00883A23" w:rsidRPr="00883A23" w:rsidRDefault="00883A23" w:rsidP="00883A23">
      <w:pPr>
        <w:numPr>
          <w:ilvl w:val="0"/>
          <w:numId w:val="4"/>
        </w:numPr>
        <w:ind w:left="0" w:hanging="2"/>
        <w:rPr>
          <w:lang w:val="pl-PL"/>
        </w:rPr>
      </w:pPr>
      <w:r w:rsidRPr="00883A23">
        <w:rPr>
          <w:lang w:val="pl-PL"/>
        </w:rPr>
        <w:t>tworzenie standardów kompetencji zawodowych dla APN,</w:t>
      </w:r>
    </w:p>
    <w:p w14:paraId="704880E5" w14:textId="77777777" w:rsidR="00883A23" w:rsidRPr="00883A23" w:rsidRDefault="00883A23" w:rsidP="00883A23">
      <w:pPr>
        <w:numPr>
          <w:ilvl w:val="0"/>
          <w:numId w:val="4"/>
        </w:numPr>
        <w:ind w:left="0" w:hanging="2"/>
        <w:rPr>
          <w:lang w:val="pl-PL"/>
        </w:rPr>
      </w:pPr>
      <w:r w:rsidRPr="00883A23">
        <w:rPr>
          <w:lang w:val="pl-PL"/>
        </w:rPr>
        <w:t>wspieranie doskonalenia zawodowego w zakresie leadership i zarządzania jakością,</w:t>
      </w:r>
    </w:p>
    <w:p w14:paraId="2885C33C" w14:textId="77777777" w:rsidR="00883A23" w:rsidRPr="00883A23" w:rsidRDefault="00883A23" w:rsidP="00883A23">
      <w:pPr>
        <w:numPr>
          <w:ilvl w:val="0"/>
          <w:numId w:val="4"/>
        </w:numPr>
        <w:ind w:left="0" w:hanging="2"/>
        <w:rPr>
          <w:lang w:val="pl-PL"/>
        </w:rPr>
      </w:pPr>
      <w:r w:rsidRPr="00883A23">
        <w:rPr>
          <w:lang w:val="pl-PL"/>
        </w:rPr>
        <w:t>rzecznictwo legislacyjne na rzecz rozszerzenia kompetencji (w tym ordynacja leków),</w:t>
      </w:r>
    </w:p>
    <w:p w14:paraId="2E9F99F5" w14:textId="77777777" w:rsidR="00883A23" w:rsidRPr="00883A23" w:rsidRDefault="00883A23" w:rsidP="00883A23">
      <w:pPr>
        <w:numPr>
          <w:ilvl w:val="0"/>
          <w:numId w:val="4"/>
        </w:numPr>
        <w:ind w:left="0" w:hanging="2"/>
        <w:rPr>
          <w:lang w:val="pl-PL"/>
        </w:rPr>
      </w:pPr>
      <w:r w:rsidRPr="00883A23">
        <w:rPr>
          <w:lang w:val="pl-PL"/>
        </w:rPr>
        <w:t>promowanie dobrych praktyk i tworzenie platformy wymiany doświadczeń.</w:t>
      </w:r>
    </w:p>
    <w:p w14:paraId="6BD5D807" w14:textId="21C24E2E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Model PEPPA dostarcza narzędzi do systemowego, opartego na dowodach i skoncentrowanego na pacjencie wdrażania rôl APN. W Polsce, gdzie potrzeby zdrowotne rosną, a kadra starzeje się, inwestycja w rozwój kompetencji APN jest szansą na wzmocnienie roli pielęgniarek i poprawę efektywności systemu. Wymaga to jednak skoordynowanego działania uczelni, decydentów i samorządów zawodowych.</w:t>
      </w:r>
    </w:p>
    <w:p w14:paraId="05CD84D3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Wdrażanie edukacji w zakresie leadership, person-centred care i lean management musi stać się priorytetem dla wszystkich interesariuszy reformy ochrony zdrowia w Polsce.</w:t>
      </w:r>
    </w:p>
    <w:p w14:paraId="386D44EE" w14:textId="77777777" w:rsidR="00883A23" w:rsidRPr="00883A23" w:rsidRDefault="00883A23" w:rsidP="00883A23">
      <w:pPr>
        <w:ind w:left="0" w:hanging="2"/>
        <w:rPr>
          <w:lang w:val="pl-PL"/>
        </w:rPr>
      </w:pPr>
      <w:r w:rsidRPr="00883A23">
        <w:rPr>
          <w:lang w:val="pl-PL"/>
        </w:rPr>
        <w:t>Z perspektywy doświadczeń z Summer School 2025, model PEPPA oraz ujęcie klinicznego przywództwa i kultury jakościowej mogą stać się filarami nowoczesnego rozwoju pielęgniarstwa w Polsce – zarówno akademickiego, jak i praktycznego.</w:t>
      </w:r>
    </w:p>
    <w:p w14:paraId="4BB92E24" w14:textId="77777777" w:rsidR="002B6215" w:rsidRPr="00883A23" w:rsidRDefault="002B6215">
      <w:pPr>
        <w:ind w:left="0" w:hanging="2"/>
        <w:rPr>
          <w:lang w:val="pl-PL"/>
        </w:rPr>
      </w:pPr>
    </w:p>
    <w:sectPr w:rsidR="002B6215" w:rsidRPr="00883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A83"/>
    <w:multiLevelType w:val="multilevel"/>
    <w:tmpl w:val="80B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804F5"/>
    <w:multiLevelType w:val="multilevel"/>
    <w:tmpl w:val="A73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A1036"/>
    <w:multiLevelType w:val="multilevel"/>
    <w:tmpl w:val="226A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36F1B"/>
    <w:multiLevelType w:val="multilevel"/>
    <w:tmpl w:val="729C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585237">
    <w:abstractNumId w:val="0"/>
  </w:num>
  <w:num w:numId="2" w16cid:durableId="1649018531">
    <w:abstractNumId w:val="3"/>
  </w:num>
  <w:num w:numId="3" w16cid:durableId="1770469620">
    <w:abstractNumId w:val="2"/>
  </w:num>
  <w:num w:numId="4" w16cid:durableId="63599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3"/>
    <w:rsid w:val="000300F1"/>
    <w:rsid w:val="001E4847"/>
    <w:rsid w:val="002B6215"/>
    <w:rsid w:val="00315CE9"/>
    <w:rsid w:val="0044352A"/>
    <w:rsid w:val="005B58E9"/>
    <w:rsid w:val="005D03B2"/>
    <w:rsid w:val="0064104D"/>
    <w:rsid w:val="00883A23"/>
    <w:rsid w:val="008F7781"/>
    <w:rsid w:val="0095375B"/>
    <w:rsid w:val="00987101"/>
    <w:rsid w:val="009A3C7B"/>
    <w:rsid w:val="00AA7103"/>
    <w:rsid w:val="00D133DC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203A"/>
  <w15:chartTrackingRefBased/>
  <w15:docId w15:val="{C884FBA6-CB63-41BE-8F6C-9E7F04A2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b/>
        <w:color w:val="000000"/>
        <w:sz w:val="22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E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b w:val="0"/>
      <w:color w:val="auto"/>
      <w:position w:val="-1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A23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23"/>
    <w:rPr>
      <w:rFonts w:asciiTheme="majorHAnsi" w:eastAsiaTheme="majorEastAsia" w:hAnsiTheme="majorHAnsi" w:cstheme="majorBidi"/>
      <w:b w:val="0"/>
      <w:color w:val="0F4761" w:themeColor="accent1" w:themeShade="BF"/>
      <w:position w:val="-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23"/>
    <w:rPr>
      <w:rFonts w:asciiTheme="majorHAnsi" w:eastAsiaTheme="majorEastAsia" w:hAnsiTheme="majorHAnsi" w:cstheme="majorBidi"/>
      <w:b w:val="0"/>
      <w:color w:val="0F4761" w:themeColor="accent1" w:themeShade="BF"/>
      <w:position w:val="-1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23"/>
    <w:rPr>
      <w:rFonts w:asciiTheme="minorHAnsi" w:eastAsiaTheme="majorEastAsia" w:hAnsiTheme="minorHAnsi" w:cstheme="majorBidi"/>
      <w:b w:val="0"/>
      <w:color w:val="0F4761" w:themeColor="accent1" w:themeShade="BF"/>
      <w:position w:val="-1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23"/>
    <w:rPr>
      <w:rFonts w:asciiTheme="minorHAnsi" w:eastAsiaTheme="majorEastAsia" w:hAnsiTheme="minorHAnsi" w:cstheme="majorBidi"/>
      <w:b w:val="0"/>
      <w:i/>
      <w:iCs/>
      <w:color w:val="0F4761" w:themeColor="accent1" w:themeShade="BF"/>
      <w:position w:val="-1"/>
      <w:sz w:val="20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23"/>
    <w:rPr>
      <w:rFonts w:asciiTheme="minorHAnsi" w:eastAsiaTheme="majorEastAsia" w:hAnsiTheme="minorHAnsi" w:cstheme="majorBidi"/>
      <w:b w:val="0"/>
      <w:color w:val="0F4761" w:themeColor="accent1" w:themeShade="BF"/>
      <w:position w:val="-1"/>
      <w:sz w:val="20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23"/>
    <w:rPr>
      <w:rFonts w:asciiTheme="minorHAnsi" w:eastAsiaTheme="majorEastAsia" w:hAnsiTheme="minorHAnsi" w:cstheme="majorBidi"/>
      <w:b w:val="0"/>
      <w:i/>
      <w:iCs/>
      <w:color w:val="595959" w:themeColor="text1" w:themeTint="A6"/>
      <w:position w:val="-1"/>
      <w:sz w:val="20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23"/>
    <w:rPr>
      <w:rFonts w:asciiTheme="minorHAnsi" w:eastAsiaTheme="majorEastAsia" w:hAnsiTheme="minorHAnsi" w:cstheme="majorBidi"/>
      <w:b w:val="0"/>
      <w:color w:val="595959" w:themeColor="text1" w:themeTint="A6"/>
      <w:position w:val="-1"/>
      <w:sz w:val="20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23"/>
    <w:rPr>
      <w:rFonts w:asciiTheme="minorHAnsi" w:eastAsiaTheme="majorEastAsia" w:hAnsiTheme="minorHAnsi" w:cstheme="majorBidi"/>
      <w:b w:val="0"/>
      <w:i/>
      <w:iCs/>
      <w:color w:val="272727" w:themeColor="text1" w:themeTint="D8"/>
      <w:position w:val="-1"/>
      <w:sz w:val="20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23"/>
    <w:rPr>
      <w:rFonts w:asciiTheme="minorHAnsi" w:eastAsiaTheme="majorEastAsia" w:hAnsiTheme="minorHAnsi" w:cstheme="majorBidi"/>
      <w:b w:val="0"/>
      <w:color w:val="272727" w:themeColor="text1" w:themeTint="D8"/>
      <w:position w:val="-1"/>
      <w:sz w:val="20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83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23"/>
    <w:rPr>
      <w:rFonts w:asciiTheme="majorHAnsi" w:eastAsiaTheme="majorEastAsia" w:hAnsiTheme="majorHAnsi" w:cstheme="majorBidi"/>
      <w:b w:val="0"/>
      <w:color w:val="auto"/>
      <w:spacing w:val="-10"/>
      <w:kern w:val="28"/>
      <w:position w:val="-1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23"/>
    <w:pPr>
      <w:numPr>
        <w:ilvl w:val="1"/>
      </w:numPr>
      <w:spacing w:after="160"/>
      <w:ind w:leftChars="-1" w:left="-1" w:hangingChars="1" w:hanging="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23"/>
    <w:rPr>
      <w:rFonts w:asciiTheme="minorHAnsi" w:eastAsiaTheme="majorEastAsia" w:hAnsiTheme="minorHAnsi" w:cstheme="majorBidi"/>
      <w:b w:val="0"/>
      <w:color w:val="595959" w:themeColor="text1" w:themeTint="A6"/>
      <w:spacing w:val="15"/>
      <w:position w:val="-1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83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23"/>
    <w:rPr>
      <w:rFonts w:cs="Calibri"/>
      <w:b w:val="0"/>
      <w:i/>
      <w:iCs/>
      <w:color w:val="404040" w:themeColor="text1" w:themeTint="BF"/>
      <w:position w:val="-1"/>
      <w:sz w:val="2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83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23"/>
    <w:rPr>
      <w:rFonts w:cs="Calibri"/>
      <w:b w:val="0"/>
      <w:i/>
      <w:iCs/>
      <w:color w:val="0F4761" w:themeColor="accent1" w:themeShade="BF"/>
      <w:position w:val="-1"/>
      <w:sz w:val="20"/>
      <w:szCs w:val="22"/>
      <w:lang w:val="en-GB"/>
    </w:rPr>
  </w:style>
  <w:style w:type="character" w:styleId="IntenseReference">
    <w:name w:val="Intense Reference"/>
    <w:basedOn w:val="DefaultParagraphFont"/>
    <w:uiPriority w:val="32"/>
    <w:qFormat/>
    <w:rsid w:val="00883A23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Kilańska</dc:creator>
  <cp:keywords/>
  <dc:description/>
  <cp:lastModifiedBy>Natalia Biega</cp:lastModifiedBy>
  <cp:revision>6</cp:revision>
  <dcterms:created xsi:type="dcterms:W3CDTF">2025-07-07T13:28:00Z</dcterms:created>
  <dcterms:modified xsi:type="dcterms:W3CDTF">2025-07-15T14:40:00Z</dcterms:modified>
</cp:coreProperties>
</file>