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06D7" w14:textId="77777777"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bookmarkStart w:id="0" w:name="_GoBack"/>
      <w:bookmarkEnd w:id="0"/>
      <w:r>
        <w:rPr>
          <w:rFonts w:ascii="Verdana" w:hAnsi="Verdana" w:cstheme="minorHAnsi"/>
          <w:b/>
          <w:color w:val="002060"/>
          <w:sz w:val="28"/>
          <w:szCs w:val="28"/>
          <w:lang w:val="en-GB"/>
        </w:rPr>
        <w:t>Guidelines on how to use</w:t>
      </w:r>
    </w:p>
    <w:p w14:paraId="730D7FA0" w14:textId="22E140C5"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14:paraId="730D7FA4" w14:textId="05A2F0D3"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14:paraId="730D7FA9" w14:textId="56FD7564"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4A3A6681"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14:paraId="5D00DA0B" w14:textId="6F37C982" w:rsidR="00EF748F" w:rsidRPr="00DF1487" w:rsidRDefault="00EF748F" w:rsidP="00EF748F">
      <w:pPr>
        <w:spacing w:before="120" w:after="120"/>
        <w:ind w:right="61"/>
        <w:jc w:val="both"/>
        <w:rPr>
          <w:rFonts w:cstheme="minorHAnsi"/>
          <w:lang w:val="en-GB"/>
        </w:rPr>
      </w:pPr>
      <w:r w:rsidRPr="00DF1487">
        <w:rPr>
          <w:rFonts w:cstheme="minorHAnsi"/>
          <w:lang w:val="en-GB"/>
        </w:rPr>
        <w:t>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3D7B3A74"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3B7E5AF1"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973B17B"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C66B1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C66B1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C66B1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C66B19"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firstRow="1" w:lastRow="0" w:firstColumn="1" w:lastColumn="0" w:noHBand="0" w:noVBand="1"/>
      </w:tblPr>
      <w:tblGrid>
        <w:gridCol w:w="3686"/>
        <w:gridCol w:w="2410"/>
        <w:gridCol w:w="2409"/>
        <w:gridCol w:w="1418"/>
      </w:tblGrid>
      <w:tr w:rsidR="008B1FB5" w:rsidRPr="00DC4979" w14:paraId="730D801C" w14:textId="77777777"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A" w14:textId="77777777"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5B43B130"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14:paraId="730D802E" w14:textId="71040C94"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w:lastRenderedPageBreak/>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1F74E3B2" w:rsidR="009C2690" w:rsidRPr="0027424A" w:rsidRDefault="009C2690" w:rsidP="00561704">
      <w:pPr>
        <w:tabs>
          <w:tab w:val="left" w:pos="1928"/>
        </w:tabs>
        <w:spacing w:after="0"/>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0FAA2" w14:textId="77777777" w:rsidR="00C66B19" w:rsidRDefault="00C66B19" w:rsidP="0027424A">
      <w:pPr>
        <w:spacing w:after="0" w:line="240" w:lineRule="auto"/>
      </w:pPr>
      <w:r>
        <w:separator/>
      </w:r>
    </w:p>
  </w:endnote>
  <w:endnote w:type="continuationSeparator" w:id="0">
    <w:p w14:paraId="511EB1EF" w14:textId="77777777" w:rsidR="00C66B19" w:rsidRDefault="00C66B19"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7BA46702" w:rsidR="00287378" w:rsidRDefault="00287378">
        <w:pPr>
          <w:pStyle w:val="Stopka"/>
          <w:jc w:val="center"/>
        </w:pPr>
        <w:r>
          <w:fldChar w:fldCharType="begin"/>
        </w:r>
        <w:r>
          <w:instrText xml:space="preserve"> PAGE   \* MERGEFORMAT </w:instrText>
        </w:r>
        <w:r>
          <w:fldChar w:fldCharType="separate"/>
        </w:r>
        <w:r w:rsidR="00777BFC">
          <w:rPr>
            <w:noProof/>
          </w:rPr>
          <w:t>3</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D083E" w14:textId="77777777" w:rsidR="00C66B19" w:rsidRDefault="00C66B19" w:rsidP="0027424A">
      <w:pPr>
        <w:spacing w:after="0" w:line="240" w:lineRule="auto"/>
      </w:pPr>
      <w:r>
        <w:separator/>
      </w:r>
    </w:p>
  </w:footnote>
  <w:footnote w:type="continuationSeparator" w:id="0">
    <w:p w14:paraId="2261E48E" w14:textId="77777777" w:rsidR="00C66B19" w:rsidRDefault="00C66B19"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77BFC"/>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66B19"/>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D7F9F"/>
  <w15:docId w15:val="{403CE139-40F7-46AB-A1BF-F0E692E2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B0F8B2-CCF1-4A2F-A6F8-6A55EE1D4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2056</Words>
  <Characters>12338</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Gracja Mecwaldowska-Domańska</cp:lastModifiedBy>
  <cp:revision>2</cp:revision>
  <cp:lastPrinted>2015-04-10T10:01:00Z</cp:lastPrinted>
  <dcterms:created xsi:type="dcterms:W3CDTF">2018-10-30T10:33:00Z</dcterms:created>
  <dcterms:modified xsi:type="dcterms:W3CDTF">2018-10-30T10:33:00Z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