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5606" w14:textId="4D7DC140" w:rsidR="00735557" w:rsidRDefault="0052113A" w:rsidP="0052113A">
      <w:pPr>
        <w:jc w:val="right"/>
        <w:rPr>
          <w:rFonts w:ascii="Times New Roman" w:hAnsi="Times New Roman"/>
          <w:b/>
          <w:sz w:val="24"/>
          <w:szCs w:val="24"/>
        </w:rPr>
      </w:pPr>
      <w:r w:rsidRPr="006A6938">
        <w:t xml:space="preserve">Łódź, </w:t>
      </w:r>
      <w:r w:rsidRPr="002F73F4">
        <w:rPr>
          <w:lang w:val="en-US"/>
        </w:rPr>
        <w:fldChar w:fldCharType="begin"/>
      </w:r>
      <w:r w:rsidRPr="002F73F4">
        <w:instrText xml:space="preserve"> TIME  \@ "dd-MM-yyyy"  \* MERGEFORMAT </w:instrText>
      </w:r>
      <w:r w:rsidRPr="002F73F4">
        <w:rPr>
          <w:lang w:val="en-US"/>
        </w:rPr>
        <w:fldChar w:fldCharType="separate"/>
      </w:r>
      <w:r w:rsidR="00F87104">
        <w:rPr>
          <w:noProof/>
        </w:rPr>
        <w:t>05-12-2021</w:t>
      </w:r>
      <w:r w:rsidRPr="002F73F4">
        <w:rPr>
          <w:lang w:val="en-US"/>
        </w:rPr>
        <w:fldChar w:fldCharType="end"/>
      </w:r>
    </w:p>
    <w:p w14:paraId="7E520F06" w14:textId="77777777" w:rsidR="0052113A" w:rsidRDefault="0052113A" w:rsidP="006345A5">
      <w:pPr>
        <w:jc w:val="left"/>
        <w:rPr>
          <w:rFonts w:ascii="Times New Roman" w:hAnsi="Times New Roman"/>
          <w:b/>
          <w:sz w:val="24"/>
          <w:szCs w:val="24"/>
        </w:rPr>
      </w:pPr>
    </w:p>
    <w:p w14:paraId="2D175A22" w14:textId="77777777" w:rsidR="00C87488" w:rsidRPr="006345A5" w:rsidRDefault="006345A5" w:rsidP="006345A5">
      <w:pPr>
        <w:jc w:val="left"/>
        <w:rPr>
          <w:rFonts w:ascii="Times New Roman" w:hAnsi="Times New Roman"/>
          <w:b/>
          <w:sz w:val="24"/>
          <w:szCs w:val="24"/>
        </w:rPr>
      </w:pPr>
      <w:r w:rsidRPr="006345A5">
        <w:rPr>
          <w:rFonts w:ascii="Times New Roman" w:hAnsi="Times New Roman"/>
          <w:b/>
          <w:sz w:val="24"/>
          <w:szCs w:val="24"/>
        </w:rPr>
        <w:t>JM01.545.</w:t>
      </w:r>
      <w:r w:rsidR="00DA0D4F">
        <w:rPr>
          <w:rFonts w:ascii="Times New Roman" w:hAnsi="Times New Roman"/>
          <w:b/>
          <w:sz w:val="24"/>
          <w:szCs w:val="24"/>
        </w:rPr>
        <w:t>151</w:t>
      </w:r>
      <w:r w:rsidRPr="006345A5">
        <w:rPr>
          <w:rFonts w:ascii="Times New Roman" w:hAnsi="Times New Roman"/>
          <w:b/>
          <w:sz w:val="24"/>
          <w:szCs w:val="24"/>
        </w:rPr>
        <w:t>.20</w:t>
      </w:r>
      <w:r w:rsidR="00E42B45">
        <w:rPr>
          <w:rFonts w:ascii="Times New Roman" w:hAnsi="Times New Roman"/>
          <w:b/>
          <w:sz w:val="24"/>
          <w:szCs w:val="24"/>
        </w:rPr>
        <w:t>20</w:t>
      </w:r>
    </w:p>
    <w:p w14:paraId="73E9950D" w14:textId="77777777" w:rsidR="006345A5" w:rsidRDefault="006345A5" w:rsidP="006345A5">
      <w:pPr>
        <w:jc w:val="right"/>
        <w:rPr>
          <w:rFonts w:ascii="Times New Roman" w:hAnsi="Times New Roman"/>
          <w:b/>
          <w:sz w:val="32"/>
          <w:szCs w:val="32"/>
        </w:rPr>
      </w:pPr>
    </w:p>
    <w:p w14:paraId="63081798" w14:textId="77777777" w:rsidR="00603085" w:rsidRPr="001D74D1" w:rsidRDefault="00566DCD" w:rsidP="001D74D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3473EF">
        <w:rPr>
          <w:rFonts w:ascii="Times New Roman" w:hAnsi="Times New Roman"/>
          <w:b/>
          <w:sz w:val="32"/>
          <w:szCs w:val="32"/>
        </w:rPr>
        <w:t>Spis publikacji –</w:t>
      </w:r>
      <w:r w:rsidR="000A61D5">
        <w:rPr>
          <w:rFonts w:ascii="Times New Roman" w:hAnsi="Times New Roman"/>
          <w:b/>
          <w:sz w:val="32"/>
          <w:szCs w:val="32"/>
        </w:rPr>
        <w:t xml:space="preserve"> </w:t>
      </w:r>
      <w:r w:rsidR="00DA0D4F">
        <w:rPr>
          <w:rFonts w:ascii="Times New Roman" w:hAnsi="Times New Roman"/>
          <w:b/>
          <w:sz w:val="32"/>
          <w:szCs w:val="32"/>
        </w:rPr>
        <w:t>prof. dr hab. n. med. Marcin Kozakiewicz</w:t>
      </w:r>
    </w:p>
    <w:p w14:paraId="487E166F" w14:textId="77777777" w:rsidR="00E65818" w:rsidRDefault="00E65818" w:rsidP="00CD4FAA">
      <w:pPr>
        <w:ind w:firstLine="0"/>
        <w:rPr>
          <w:b/>
        </w:rPr>
      </w:pPr>
    </w:p>
    <w:p w14:paraId="282F6F9A" w14:textId="77777777" w:rsidR="00BA0129" w:rsidRDefault="00BA0129" w:rsidP="00CD4FAA">
      <w:pPr>
        <w:ind w:firstLine="0"/>
        <w:rPr>
          <w:b/>
        </w:rPr>
      </w:pPr>
      <w:r w:rsidRPr="00BA0129">
        <w:rPr>
          <w:b/>
        </w:rPr>
        <w:t xml:space="preserve">Punktacja została wykonana na podstawie spisu publikacji przedstawionego przez osobę zainteresowaną, przy użyciu list </w:t>
      </w:r>
      <w:proofErr w:type="spellStart"/>
      <w:r w:rsidRPr="00BA0129">
        <w:rPr>
          <w:b/>
        </w:rPr>
        <w:t>Impact</w:t>
      </w:r>
      <w:proofErr w:type="spellEnd"/>
      <w:r w:rsidRPr="00BA0129">
        <w:rPr>
          <w:b/>
        </w:rPr>
        <w:t xml:space="preserve"> </w:t>
      </w:r>
      <w:proofErr w:type="spellStart"/>
      <w:r w:rsidRPr="00BA0129">
        <w:rPr>
          <w:b/>
        </w:rPr>
        <w:t>Factor</w:t>
      </w:r>
      <w:proofErr w:type="spellEnd"/>
      <w:r w:rsidRPr="00BA0129">
        <w:rPr>
          <w:b/>
        </w:rPr>
        <w:t xml:space="preserve"> </w:t>
      </w:r>
      <w:r w:rsidR="00D17187">
        <w:rPr>
          <w:b/>
        </w:rPr>
        <w:br/>
      </w:r>
      <w:r w:rsidRPr="00BA0129">
        <w:rPr>
          <w:b/>
        </w:rPr>
        <w:t xml:space="preserve">i </w:t>
      </w:r>
      <w:proofErr w:type="spellStart"/>
      <w:r w:rsidRPr="00BA0129">
        <w:rPr>
          <w:b/>
        </w:rPr>
        <w:t>MNiSW</w:t>
      </w:r>
      <w:proofErr w:type="spellEnd"/>
      <w:r w:rsidRPr="00BA0129">
        <w:rPr>
          <w:b/>
        </w:rPr>
        <w:t xml:space="preserve"> za rok publikacji artykułu.</w:t>
      </w:r>
    </w:p>
    <w:p w14:paraId="3ED9212A" w14:textId="77777777" w:rsidR="00D56236" w:rsidRDefault="00D56236" w:rsidP="00DB5B09">
      <w:pPr>
        <w:ind w:firstLine="0"/>
        <w:rPr>
          <w:b/>
        </w:rPr>
      </w:pPr>
    </w:p>
    <w:p w14:paraId="2ADA2745" w14:textId="77777777" w:rsidR="006B628D" w:rsidRPr="005600FA" w:rsidRDefault="006B628D" w:rsidP="005600FA">
      <w:r w:rsidRPr="005600FA">
        <w:br w:type="textWrapping" w:clear="all"/>
      </w:r>
      <w:r w:rsidR="005600FA" w:rsidRPr="005600FA">
        <w:t xml:space="preserve">Łącznie </w:t>
      </w:r>
      <w:r w:rsidR="00263F70">
        <w:rPr>
          <w:b/>
        </w:rPr>
        <w:t>405</w:t>
      </w:r>
      <w:r w:rsidR="005600FA" w:rsidRPr="005600FA">
        <w:t xml:space="preserve"> </w:t>
      </w:r>
      <w:proofErr w:type="spellStart"/>
      <w:r w:rsidR="005600FA" w:rsidRPr="005600FA">
        <w:t>cytowań</w:t>
      </w:r>
      <w:proofErr w:type="spellEnd"/>
      <w:r w:rsidR="005600FA" w:rsidRPr="005600FA">
        <w:t xml:space="preserve"> (</w:t>
      </w:r>
      <w:r w:rsidR="00263F70">
        <w:rPr>
          <w:b/>
        </w:rPr>
        <w:t>327</w:t>
      </w:r>
      <w:r w:rsidR="0002282D">
        <w:t xml:space="preserve"> </w:t>
      </w:r>
      <w:r w:rsidR="005600FA" w:rsidRPr="005600FA">
        <w:t xml:space="preserve">bez </w:t>
      </w:r>
      <w:proofErr w:type="spellStart"/>
      <w:r w:rsidR="005600FA" w:rsidRPr="005600FA">
        <w:t>autocytowań</w:t>
      </w:r>
      <w:proofErr w:type="spellEnd"/>
      <w:r w:rsidR="005600FA" w:rsidRPr="005600FA">
        <w:t xml:space="preserve">), indeks Hirscha wynosi </w:t>
      </w:r>
      <w:r w:rsidR="00263F70" w:rsidRPr="00263F70">
        <w:rPr>
          <w:b/>
        </w:rPr>
        <w:t>10</w:t>
      </w:r>
      <w:r w:rsidR="0002282D">
        <w:rPr>
          <w:b/>
        </w:rPr>
        <w:t xml:space="preserve"> </w:t>
      </w:r>
      <w:r w:rsidR="005600FA" w:rsidRPr="005600FA">
        <w:t xml:space="preserve">(Źródło: </w:t>
      </w:r>
      <w:r w:rsidR="005600FA" w:rsidRPr="005600FA">
        <w:rPr>
          <w:b/>
        </w:rPr>
        <w:t xml:space="preserve">ISI Web of Science </w:t>
      </w:r>
      <w:proofErr w:type="spellStart"/>
      <w:r w:rsidR="005600FA" w:rsidRPr="005600FA">
        <w:rPr>
          <w:b/>
        </w:rPr>
        <w:t>Core</w:t>
      </w:r>
      <w:proofErr w:type="spellEnd"/>
      <w:r w:rsidR="005600FA" w:rsidRPr="005600FA">
        <w:rPr>
          <w:b/>
        </w:rPr>
        <w:t xml:space="preserve"> Collection</w:t>
      </w:r>
      <w:r w:rsidR="005600FA" w:rsidRPr="005600FA">
        <w:t>).</w:t>
      </w:r>
    </w:p>
    <w:p w14:paraId="0E2141D5" w14:textId="77777777" w:rsidR="005600FA" w:rsidRPr="005600FA" w:rsidRDefault="005600FA" w:rsidP="005600FA">
      <w:pPr>
        <w:ind w:firstLine="0"/>
      </w:pPr>
      <w:r w:rsidRPr="005600FA">
        <w:t xml:space="preserve">Łącznie </w:t>
      </w:r>
      <w:r w:rsidR="00411C0A">
        <w:rPr>
          <w:b/>
        </w:rPr>
        <w:t>497</w:t>
      </w:r>
      <w:r w:rsidRPr="005600FA">
        <w:t xml:space="preserve"> </w:t>
      </w:r>
      <w:proofErr w:type="spellStart"/>
      <w:r>
        <w:t>cytowań</w:t>
      </w:r>
      <w:proofErr w:type="spellEnd"/>
      <w:r>
        <w:t xml:space="preserve"> (</w:t>
      </w:r>
      <w:r w:rsidR="00411C0A">
        <w:rPr>
          <w:b/>
        </w:rPr>
        <w:t>386</w:t>
      </w:r>
      <w:r>
        <w:t xml:space="preserve"> bez </w:t>
      </w:r>
      <w:proofErr w:type="spellStart"/>
      <w:r>
        <w:t>autocytowań</w:t>
      </w:r>
      <w:proofErr w:type="spellEnd"/>
      <w:r>
        <w:t>)</w:t>
      </w:r>
      <w:r w:rsidRPr="005600FA">
        <w:t xml:space="preserve">, indeks Hirscha wynosi </w:t>
      </w:r>
      <w:r w:rsidR="00411C0A">
        <w:rPr>
          <w:b/>
        </w:rPr>
        <w:t>11</w:t>
      </w:r>
      <w:r w:rsidRPr="005600FA">
        <w:t xml:space="preserve"> (Źródło: </w:t>
      </w:r>
      <w:proofErr w:type="spellStart"/>
      <w:r w:rsidRPr="005600FA">
        <w:rPr>
          <w:b/>
        </w:rPr>
        <w:t>Scopus</w:t>
      </w:r>
      <w:proofErr w:type="spellEnd"/>
      <w:r w:rsidRPr="005600FA">
        <w:t>).</w:t>
      </w:r>
    </w:p>
    <w:p w14:paraId="2CE751F6" w14:textId="77777777" w:rsidR="005600FA" w:rsidRPr="005600FA" w:rsidRDefault="005600FA" w:rsidP="005600FA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  <w:gridCol w:w="992"/>
        <w:gridCol w:w="992"/>
        <w:gridCol w:w="939"/>
        <w:gridCol w:w="1329"/>
      </w:tblGrid>
      <w:tr w:rsidR="00DA0D4F" w:rsidRPr="00DA0D4F" w14:paraId="60BA3E32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41400C14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Prace</w:t>
            </w:r>
          </w:p>
        </w:tc>
        <w:tc>
          <w:tcPr>
            <w:tcW w:w="992" w:type="dxa"/>
            <w:shd w:val="clear" w:color="auto" w:fill="auto"/>
            <w:hideMark/>
          </w:tcPr>
          <w:p w14:paraId="511C4091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 lub ostatni autor?</w:t>
            </w:r>
          </w:p>
        </w:tc>
        <w:tc>
          <w:tcPr>
            <w:tcW w:w="992" w:type="dxa"/>
            <w:shd w:val="clear" w:color="auto" w:fill="auto"/>
            <w:hideMark/>
          </w:tcPr>
          <w:p w14:paraId="43E5EAB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 xml:space="preserve">IF z roku </w:t>
            </w: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</w:rPr>
              <w:t>publ</w:t>
            </w:r>
            <w:proofErr w:type="spellEnd"/>
          </w:p>
        </w:tc>
        <w:tc>
          <w:tcPr>
            <w:tcW w:w="939" w:type="dxa"/>
            <w:shd w:val="thinReverseDiagStripe" w:color="FFFF00" w:fill="auto"/>
            <w:hideMark/>
          </w:tcPr>
          <w:p w14:paraId="66697758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</w:rPr>
              <w:t>MNiSW</w:t>
            </w:r>
            <w:proofErr w:type="spellEnd"/>
            <w:r w:rsidRPr="00DA0D4F">
              <w:rPr>
                <w:rFonts w:ascii="Times New Roman" w:eastAsia="Times New Roman" w:hAnsi="Times New Roman"/>
                <w:b/>
                <w:bCs/>
              </w:rPr>
              <w:t xml:space="preserve"> z roku </w:t>
            </w: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</w:rPr>
              <w:t>publ</w:t>
            </w:r>
            <w:proofErr w:type="spellEnd"/>
          </w:p>
        </w:tc>
        <w:tc>
          <w:tcPr>
            <w:tcW w:w="1329" w:type="dxa"/>
            <w:shd w:val="clear" w:color="auto" w:fill="auto"/>
            <w:hideMark/>
          </w:tcPr>
          <w:p w14:paraId="77144C2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 xml:space="preserve">Typ </w:t>
            </w: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</w:rPr>
              <w:t>publ</w:t>
            </w:r>
            <w:proofErr w:type="spellEnd"/>
          </w:p>
        </w:tc>
      </w:tr>
      <w:tr w:rsidR="00DA0D4F" w:rsidRPr="00DA0D4F" w14:paraId="2A55E5DA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3F0EFAF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Punkty przypisane wg. List </w:t>
            </w: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>Impact</w:t>
            </w:r>
            <w:proofErr w:type="spellEnd"/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>Factor</w:t>
            </w:r>
            <w:proofErr w:type="spellEnd"/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i  </w:t>
            </w:r>
            <w:proofErr w:type="spellStart"/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>MNiSW</w:t>
            </w:r>
            <w:proofErr w:type="spellEnd"/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z roku publikacji artykułu</w:t>
            </w:r>
          </w:p>
        </w:tc>
        <w:tc>
          <w:tcPr>
            <w:tcW w:w="992" w:type="dxa"/>
            <w:shd w:val="clear" w:color="auto" w:fill="auto"/>
            <w:hideMark/>
          </w:tcPr>
          <w:p w14:paraId="2D27FF84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28236D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087F497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329" w:type="dxa"/>
            <w:shd w:val="clear" w:color="auto" w:fill="auto"/>
            <w:hideMark/>
          </w:tcPr>
          <w:p w14:paraId="16327F9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57DD3" w:rsidRPr="00DA0D4F" w14:paraId="7FE76636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714E1264" w14:textId="215576A5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Kozakiewicz M.: Are Magnesium Screws Proper for Mandibular Condyle Head Osteosynthesis? Materials 2020, 13(11), 2681; </w:t>
            </w:r>
            <w:hyperlink r:id="rId6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https://doi.org/10.3390/ma13112641</w:t>
              </w:r>
            </w:hyperlink>
          </w:p>
        </w:tc>
        <w:tc>
          <w:tcPr>
            <w:tcW w:w="992" w:type="dxa"/>
            <w:shd w:val="clear" w:color="auto" w:fill="auto"/>
          </w:tcPr>
          <w:p w14:paraId="5B2467E2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EB23620" w14:textId="3381E0A6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35D3281E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00B6CD1C" w14:textId="7031D941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4CA0078F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605A252F" w14:textId="66B55F45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Kozakiewicz M.,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Wach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T.: New oral surgery materials for bone reconstruction - comparison of five bone substitute materials for dentoalveolar augmentation. Materials 2020, 13(13), 2935; </w:t>
            </w:r>
            <w:hyperlink r:id="rId7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https://doi.org/10.3390/ma13132935</w:t>
              </w:r>
            </w:hyperlink>
          </w:p>
        </w:tc>
        <w:tc>
          <w:tcPr>
            <w:tcW w:w="992" w:type="dxa"/>
            <w:shd w:val="clear" w:color="auto" w:fill="auto"/>
          </w:tcPr>
          <w:p w14:paraId="7D5161E6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625AEFD" w14:textId="1894148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5EB6F241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2B78995B" w14:textId="4368846E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5A80BFAC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01416165" w14:textId="5714D745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Kamil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Jurczyszyn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Marcin Kozakiewicz Application of Texture and Fractal Dimension Analysis to Estimate Effectiveness of Oral Leukoplakia Treatment Using an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Er:YAG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Laser—A Prospective Study. Materials 2020, 13(16), 3614; </w:t>
            </w:r>
            <w:hyperlink r:id="rId8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doi.org/10.3390/ma13163614</w:t>
              </w:r>
            </w:hyperlink>
          </w:p>
        </w:tc>
        <w:tc>
          <w:tcPr>
            <w:tcW w:w="992" w:type="dxa"/>
            <w:shd w:val="clear" w:color="auto" w:fill="auto"/>
          </w:tcPr>
          <w:p w14:paraId="44420ED2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53F71CC" w14:textId="03E438D1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5DFD6671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5D4FD3E4" w14:textId="1BAD4681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118C0ED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7F94CCCC" w14:textId="55935FE9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Marcin Kozakiewicz, Piotr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Szymor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Tomasz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Wach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Influence of General Mineral Condition on Collagen-Guided Alveolar Crest Augmentation. Materials 2020, 13, 3649;  </w:t>
            </w:r>
            <w:hyperlink r:id="rId9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doi.org/10.3390/ma1316364</w:t>
              </w:r>
            </w:hyperlink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A81BD73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E4DAAB0" w14:textId="65645F1F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7499E778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4F51D603" w14:textId="617694D5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512162B3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526FD02B" w14:textId="11D3526D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Tomasz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Wach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Marcin Kozakiewicz: Fast-Versus Slow-Resorbable Calcium Phosphate Bone Substitute Materials—Texture Analysis after 12 Months of Observation. Materials, 2020, 13(17), 3854; </w:t>
            </w:r>
            <w:hyperlink r:id="rId10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https://doi.org/10.3390/ma13173854</w:t>
              </w:r>
            </w:hyperlink>
          </w:p>
        </w:tc>
        <w:tc>
          <w:tcPr>
            <w:tcW w:w="992" w:type="dxa"/>
            <w:shd w:val="clear" w:color="auto" w:fill="auto"/>
          </w:tcPr>
          <w:p w14:paraId="2691EDAB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757901D" w14:textId="56A2271D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05407DF5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162CD62E" w14:textId="1D38A4A5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514097" w14:paraId="7577CDD1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0130AF35" w14:textId="74001AFC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val="en-US"/>
              </w:rPr>
            </w:pP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Kamil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Jurczyszyn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Tomasz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Gedrange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Marcin Kozakiewicz: Theoretical Background to Automated Diagnosing of Oral Leukoplakia: A Preliminary Report.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Healthc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Eng. 2020: 8831161.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doi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10.1155/2020/8831161</w:t>
            </w:r>
          </w:p>
        </w:tc>
        <w:tc>
          <w:tcPr>
            <w:tcW w:w="992" w:type="dxa"/>
            <w:shd w:val="clear" w:color="auto" w:fill="auto"/>
          </w:tcPr>
          <w:p w14:paraId="43BE22AD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04516F2" w14:textId="73570762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5E5587">
              <w:rPr>
                <w:rFonts w:ascii="Times New Roman" w:eastAsia="Times New Roman" w:hAnsi="Times New Roman"/>
                <w:b/>
                <w:bCs/>
                <w:lang w:val="en-US"/>
              </w:rPr>
              <w:t>2,682</w:t>
            </w:r>
          </w:p>
        </w:tc>
        <w:tc>
          <w:tcPr>
            <w:tcW w:w="939" w:type="dxa"/>
            <w:shd w:val="thinReverseDiagStripe" w:color="FFFF00" w:fill="auto"/>
          </w:tcPr>
          <w:p w14:paraId="258E2DE3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5A832D90" w14:textId="21110BAF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1E4D26C0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2E285D5E" w14:textId="762A9D44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Bartosz Bielecki-Kowalski, Marcin Kozakiewicz: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Clinico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-anatomical classification of the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processus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condylaris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mandibulae for traumatological purposes. Ann. Anat., 2021, 234, 3, 151616. https://doi.org/10.1016/j.aanat.2020.151616.</w:t>
            </w:r>
          </w:p>
        </w:tc>
        <w:tc>
          <w:tcPr>
            <w:tcW w:w="992" w:type="dxa"/>
            <w:shd w:val="clear" w:color="auto" w:fill="auto"/>
          </w:tcPr>
          <w:p w14:paraId="5D9299D1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C23C961" w14:textId="58F9F7B4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5587">
              <w:rPr>
                <w:rFonts w:ascii="Times New Roman" w:eastAsia="Times New Roman" w:hAnsi="Times New Roman"/>
                <w:b/>
                <w:bCs/>
              </w:rPr>
              <w:t>2,698</w:t>
            </w:r>
          </w:p>
        </w:tc>
        <w:tc>
          <w:tcPr>
            <w:tcW w:w="939" w:type="dxa"/>
            <w:shd w:val="thinReverseDiagStripe" w:color="FFFF00" w:fill="auto"/>
          </w:tcPr>
          <w:p w14:paraId="63F18200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43152C31" w14:textId="5798A73F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1F4C5586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3584164A" w14:textId="5BE03EB3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Tomasz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Wach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Marcin Kozakiewicz: Are recent available blended collagen-calcium phosphate better than collagen alone or crystalline calcium phosphate?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Radiotextural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analysis of a 1-year clinical trial. Clin Oral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Investig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2020, DOI: 10.1007/s00784-020-03697-4</w:t>
            </w:r>
          </w:p>
        </w:tc>
        <w:tc>
          <w:tcPr>
            <w:tcW w:w="992" w:type="dxa"/>
            <w:shd w:val="clear" w:color="auto" w:fill="auto"/>
          </w:tcPr>
          <w:p w14:paraId="2757E01D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13D7A18" w14:textId="34C4F73E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C22F4">
              <w:rPr>
                <w:rFonts w:ascii="Times New Roman" w:eastAsia="Times New Roman" w:hAnsi="Times New Roman"/>
                <w:b/>
                <w:bCs/>
              </w:rPr>
              <w:t>3,573</w:t>
            </w:r>
          </w:p>
        </w:tc>
        <w:tc>
          <w:tcPr>
            <w:tcW w:w="939" w:type="dxa"/>
            <w:shd w:val="thinReverseDiagStripe" w:color="FFFF00" w:fill="auto"/>
          </w:tcPr>
          <w:p w14:paraId="5E81E872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38BF55D3" w14:textId="1654F0EF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29B0BF51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3EAF3ADF" w14:textId="44D242C0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Marcin Kozakiewicz: Change in pull out force during resorption of magnesium compression screws for osteosynthesis of mandibular condylar fractures. Materials. 2021; 14(2):237.  https://doi.org/10.3390/ma14020237</w:t>
            </w:r>
          </w:p>
        </w:tc>
        <w:tc>
          <w:tcPr>
            <w:tcW w:w="992" w:type="dxa"/>
            <w:shd w:val="clear" w:color="auto" w:fill="auto"/>
          </w:tcPr>
          <w:p w14:paraId="63724A30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294F0B9" w14:textId="25C3713B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16E3C885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3B904B97" w14:textId="53ABBA85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735D7AED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202AC4BD" w14:textId="5157A4E7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Kozakiewicz, M.;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Gmyrek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T.;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Zaj</w:t>
            </w: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R.; Konieczny, B. Custom-Made Zirconium Dioxide Implants for Craniofacial Bone Reconstruction. Materials 2021, 14, 840. </w:t>
            </w:r>
            <w:hyperlink r:id="rId11" w:history="1">
              <w:r w:rsidRPr="00514097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  <w:lang w:val="en-US"/>
                </w:rPr>
                <w:t>https://doi.org/10.3390/ma14040840</w:t>
              </w:r>
            </w:hyperlink>
          </w:p>
        </w:tc>
        <w:tc>
          <w:tcPr>
            <w:tcW w:w="992" w:type="dxa"/>
            <w:shd w:val="clear" w:color="auto" w:fill="auto"/>
          </w:tcPr>
          <w:p w14:paraId="23CA4634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1F40492" w14:textId="55DBBB46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29601A0D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66D4235C" w14:textId="7E1F54E8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622F1B87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248FE337" w14:textId="2A5E1400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Krzysztof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Dowgierd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Rafal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Pokrowiecki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Maciej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Borowiec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Marcin Kozakiewicz, Dominika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Smyczek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Łukasz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Krakowczyk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A Protocol for the Use of a Combined Microvascular Free Flap with Custom-Made 3D-Printed Total Temporomandibular Joint (TMJ) Prosthesis for Mandible Reconstruction in Children. Appl. Sci. 2021, 11, 2176. </w:t>
            </w:r>
            <w:hyperlink r:id="rId12" w:history="1">
              <w:r w:rsidRPr="00514097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  <w:lang w:val="en-US"/>
                </w:rPr>
                <w:t>https://doi.org/10.3390/app11052176</w:t>
              </w:r>
            </w:hyperlink>
          </w:p>
        </w:tc>
        <w:tc>
          <w:tcPr>
            <w:tcW w:w="992" w:type="dxa"/>
            <w:shd w:val="clear" w:color="auto" w:fill="auto"/>
          </w:tcPr>
          <w:p w14:paraId="3F0C6FCD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B29D580" w14:textId="279AAD89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7834">
              <w:rPr>
                <w:rFonts w:ascii="Times New Roman" w:eastAsia="Times New Roman" w:hAnsi="Times New Roman"/>
                <w:b/>
                <w:bCs/>
              </w:rPr>
              <w:t>2,679</w:t>
            </w:r>
          </w:p>
        </w:tc>
        <w:tc>
          <w:tcPr>
            <w:tcW w:w="939" w:type="dxa"/>
            <w:shd w:val="thinReverseDiagStripe" w:color="FFFF00" w:fill="auto"/>
          </w:tcPr>
          <w:p w14:paraId="6EF07B05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1AAC61C2" w14:textId="13094B42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3A36542A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551F1BC3" w14:textId="763214EB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Bielecki-Kowalski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Bartosz; Kozakiewicz, Marcin. </w:t>
            </w: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2021. "Assessment of Differences in the Dimensions of Mandible Condyle Models in Fan- versus Cone-Beam Computer Tomography Acquisition" Materials 14, no. 6: 1388. </w:t>
            </w:r>
            <w:hyperlink r:id="rId13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https://doi.org/10.3390/ma14061388</w:t>
              </w:r>
            </w:hyperlink>
          </w:p>
        </w:tc>
        <w:tc>
          <w:tcPr>
            <w:tcW w:w="992" w:type="dxa"/>
            <w:shd w:val="clear" w:color="auto" w:fill="auto"/>
          </w:tcPr>
          <w:p w14:paraId="2578FBC1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D5EF4E1" w14:textId="69AC5A46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2EE52671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28009A90" w14:textId="6698E9EE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79A275A1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5F825D1B" w14:textId="7A59822A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>Bielecki-Kowalski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 xml:space="preserve">, Bartosz; Kozakiewicz, Marcin. </w:t>
            </w: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2021. "Choice of Screws for Fixation of Mandibular Condyle Fractures Guided by Anthropometric Data" Appl. Sci. 11, no. 8: 3371. </w:t>
            </w:r>
            <w:hyperlink r:id="rId14" w:history="1">
              <w:proofErr w:type="spellStart"/>
              <w:r w:rsidRPr="00514097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  <w:lang w:val="en-US"/>
                </w:rPr>
                <w:t>doi</w:t>
              </w:r>
              <w:proofErr w:type="spellEnd"/>
            </w:hyperlink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10.3390/app11083371</w:t>
            </w:r>
          </w:p>
        </w:tc>
        <w:tc>
          <w:tcPr>
            <w:tcW w:w="992" w:type="dxa"/>
            <w:shd w:val="clear" w:color="auto" w:fill="auto"/>
          </w:tcPr>
          <w:p w14:paraId="273AB46B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2283E06" w14:textId="03200F8E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7834">
              <w:rPr>
                <w:rFonts w:ascii="Times New Roman" w:eastAsia="Times New Roman" w:hAnsi="Times New Roman"/>
                <w:b/>
                <w:bCs/>
              </w:rPr>
              <w:t>2,679</w:t>
            </w:r>
          </w:p>
        </w:tc>
        <w:tc>
          <w:tcPr>
            <w:tcW w:w="939" w:type="dxa"/>
            <w:shd w:val="thinReverseDiagStripe" w:color="FFFF00" w:fill="auto"/>
          </w:tcPr>
          <w:p w14:paraId="2CE014CB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2B8A7475" w14:textId="13535031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DA0D4F" w14:paraId="122FA299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661ADC5B" w14:textId="56E37CC4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>Dowgierd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 xml:space="preserve">, Krzysztof;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>Pokrowiecki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 xml:space="preserve">, Rafał; Borowiec, Maciej;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>Sokolowska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 xml:space="preserve">, Zuzanna;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>Dowgierd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 xml:space="preserve">, Martyna; </w:t>
            </w:r>
            <w:proofErr w:type="spellStart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Pr="00514097">
              <w:rPr>
                <w:rFonts w:asciiTheme="minorHAnsi" w:hAnsiTheme="minorHAnsi" w:cstheme="minorHAnsi"/>
                <w:sz w:val="22"/>
                <w:szCs w:val="22"/>
              </w:rPr>
              <w:t xml:space="preserve">, Jan; Kozakiewicz, Marcin; Krakowczyk, Łukasz. </w:t>
            </w:r>
            <w:r w:rsidRPr="005140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2021. "Protocol and Evaluation </w:t>
            </w: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of 3D-Planned Microsurgical and Dental Implant Reconstruction of Maxillary Cleft Critical Size Defects in Adolescents and Young Adults" J. Clin. Med. 10, no. 11: 2267. </w:t>
            </w:r>
            <w:hyperlink r:id="rId15" w:history="1">
              <w:r w:rsidRPr="00514097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lang w:val="en-US"/>
                </w:rPr>
                <w:t>https://doi.org/10.3390/jcm10112267</w:t>
              </w:r>
            </w:hyperlink>
          </w:p>
        </w:tc>
        <w:tc>
          <w:tcPr>
            <w:tcW w:w="992" w:type="dxa"/>
            <w:shd w:val="clear" w:color="auto" w:fill="auto"/>
          </w:tcPr>
          <w:p w14:paraId="2F848692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A2B5E04" w14:textId="514F83B5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C22F4">
              <w:rPr>
                <w:rFonts w:ascii="Times New Roman" w:eastAsia="Times New Roman" w:hAnsi="Times New Roman"/>
                <w:b/>
                <w:bCs/>
              </w:rPr>
              <w:t>4,566</w:t>
            </w:r>
          </w:p>
        </w:tc>
        <w:tc>
          <w:tcPr>
            <w:tcW w:w="939" w:type="dxa"/>
            <w:shd w:val="thinReverseDiagStripe" w:color="FFFF00" w:fill="auto"/>
          </w:tcPr>
          <w:p w14:paraId="3CC2842A" w14:textId="77777777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0D550864" w14:textId="7E381D85" w:rsidR="00757DD3" w:rsidRPr="00DA0D4F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514097" w14:paraId="14B27E5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4FB51E63" w14:textId="7036609D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val="en-US"/>
              </w:rPr>
            </w:pP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Sarul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Michał, Marcin Kozakiewicz, and Kamil </w:t>
            </w:r>
            <w:proofErr w:type="spellStart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Jurczyszyn</w:t>
            </w:r>
            <w:proofErr w:type="spellEnd"/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51409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2021. "Surface Evaluation of Orthodontic Wires Using Texture and Fractal Dimension Analysis" Materials 14, no. 13: 3688. https://doi.org/10.3390/ma14133688</w:t>
            </w:r>
          </w:p>
        </w:tc>
        <w:tc>
          <w:tcPr>
            <w:tcW w:w="992" w:type="dxa"/>
            <w:shd w:val="clear" w:color="auto" w:fill="auto"/>
          </w:tcPr>
          <w:p w14:paraId="725B99C6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F272AA7" w14:textId="14101436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5C9C2DE5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6E99933D" w14:textId="49D18096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514097" w14:paraId="1070E98E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4F5D6C47" w14:textId="7B7A25A6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val="en-US"/>
              </w:rPr>
            </w:pPr>
            <w:proofErr w:type="spellStart"/>
            <w:r w:rsidRPr="0072274E">
              <w:t>Trafalski</w:t>
            </w:r>
            <w:proofErr w:type="spellEnd"/>
            <w:r w:rsidRPr="0072274E">
              <w:t xml:space="preserve">, Mateusz, Marcin Kozakiewicz, and Kamil </w:t>
            </w:r>
            <w:proofErr w:type="spellStart"/>
            <w:r w:rsidRPr="0072274E">
              <w:t>Jurczyszyn</w:t>
            </w:r>
            <w:proofErr w:type="spellEnd"/>
            <w:r w:rsidRPr="0072274E">
              <w:t xml:space="preserve">. </w:t>
            </w:r>
            <w:r w:rsidRPr="00610B28">
              <w:rPr>
                <w:lang w:val="en-US"/>
              </w:rPr>
              <w:t>2021. "Application of Fractal Dimension and Texture Analysis to Evaluate the Effectiveness of Treatment of a Venous Lake in the Oral Mucosa Using a 980 nm Diode Laser—A Preliminary Study" Materials 14, no. 15: 4140. https://doi.org/10.3390/ma14154140</w:t>
            </w:r>
          </w:p>
        </w:tc>
        <w:tc>
          <w:tcPr>
            <w:tcW w:w="992" w:type="dxa"/>
            <w:shd w:val="clear" w:color="auto" w:fill="auto"/>
          </w:tcPr>
          <w:p w14:paraId="4E0FBB94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9C0A29" w14:textId="2B038510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193EA83B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13C8910A" w14:textId="053ECB58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514097" w14:paraId="5DCFEE8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4DE47858" w14:textId="18034D17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val="en-US"/>
              </w:rPr>
            </w:pPr>
            <w:proofErr w:type="spellStart"/>
            <w:r w:rsidRPr="0072274E">
              <w:t>Jurczyszyn</w:t>
            </w:r>
            <w:proofErr w:type="spellEnd"/>
            <w:r w:rsidRPr="0072274E">
              <w:t xml:space="preserve">, Kamil, Witold Trzeciakowski, Marcin Kozakiewicz, Dorota Kida, Katarzyna Malec, Bożena </w:t>
            </w:r>
            <w:proofErr w:type="spellStart"/>
            <w:r w:rsidRPr="0072274E">
              <w:t>Karolewicz</w:t>
            </w:r>
            <w:proofErr w:type="spellEnd"/>
            <w:r w:rsidRPr="0072274E">
              <w:t xml:space="preserve">, Tomasz Konopka, and Jacek Zborowski. </w:t>
            </w:r>
            <w:r w:rsidRPr="00610B28">
              <w:rPr>
                <w:lang w:val="en-US"/>
              </w:rPr>
              <w:t>2021. "Fractal Dimension and Texture Analysis of Lesion Autofluorescence in the Evaluation of Oral Lichen Planus Treatment Effectiveness" Materials 14, no. 18: 5448. https://doi.org/10.3390/ma14185448</w:t>
            </w:r>
          </w:p>
        </w:tc>
        <w:tc>
          <w:tcPr>
            <w:tcW w:w="992" w:type="dxa"/>
            <w:shd w:val="clear" w:color="auto" w:fill="auto"/>
          </w:tcPr>
          <w:p w14:paraId="50E99F56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D927824" w14:textId="411476E0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6717C502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15EDC5F4" w14:textId="550BA212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757DD3" w:rsidRPr="00514097" w14:paraId="721D3489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3309EE1D" w14:textId="51B12187" w:rsidR="00757DD3" w:rsidRPr="00514097" w:rsidRDefault="00757DD3" w:rsidP="00757DD3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val="en-US"/>
              </w:rPr>
            </w:pPr>
            <w:proofErr w:type="spellStart"/>
            <w:r w:rsidRPr="0072274E">
              <w:t>Skośkiewicz</w:t>
            </w:r>
            <w:proofErr w:type="spellEnd"/>
            <w:r w:rsidRPr="0072274E">
              <w:t xml:space="preserve">-Malinowska, Katarzyna, Martyna </w:t>
            </w:r>
            <w:proofErr w:type="spellStart"/>
            <w:r w:rsidRPr="0072274E">
              <w:t>Mysior</w:t>
            </w:r>
            <w:proofErr w:type="spellEnd"/>
            <w:r w:rsidRPr="0072274E">
              <w:t xml:space="preserve">, Agnieszka </w:t>
            </w:r>
            <w:proofErr w:type="spellStart"/>
            <w:r w:rsidRPr="0072274E">
              <w:t>Rusak</w:t>
            </w:r>
            <w:proofErr w:type="spellEnd"/>
            <w:r w:rsidRPr="0072274E">
              <w:t xml:space="preserve">, Piotr </w:t>
            </w:r>
            <w:proofErr w:type="spellStart"/>
            <w:r w:rsidRPr="0072274E">
              <w:t>Kuropka</w:t>
            </w:r>
            <w:proofErr w:type="spellEnd"/>
            <w:r w:rsidRPr="0072274E">
              <w:t xml:space="preserve">, Marcin Kozakiewicz, and Kamil </w:t>
            </w:r>
            <w:proofErr w:type="spellStart"/>
            <w:r w:rsidRPr="0072274E">
              <w:t>Jurczyszyn</w:t>
            </w:r>
            <w:proofErr w:type="spellEnd"/>
            <w:r w:rsidRPr="0072274E">
              <w:t xml:space="preserve">. </w:t>
            </w:r>
            <w:r w:rsidRPr="00610B28">
              <w:rPr>
                <w:lang w:val="en-US"/>
              </w:rPr>
              <w:t>2021. "Application of Texture and Fractal Dimension Analysis to Evaluate Subgingival Cement Surfaces in Terms of Biocompatibility" Materials 14, no. 19: 5857. https://doi.org/10.3390/ma14195857</w:t>
            </w:r>
          </w:p>
        </w:tc>
        <w:tc>
          <w:tcPr>
            <w:tcW w:w="992" w:type="dxa"/>
            <w:shd w:val="clear" w:color="auto" w:fill="auto"/>
          </w:tcPr>
          <w:p w14:paraId="1F00AB4C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7B85780" w14:textId="492154D4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</w:tcPr>
          <w:p w14:paraId="7601C1FB" w14:textId="77777777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14:paraId="3C7BBD62" w14:textId="3A5561BC" w:rsidR="00757DD3" w:rsidRPr="00514097" w:rsidRDefault="00757DD3" w:rsidP="00757DD3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31B7500F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82013AF" w14:textId="77777777" w:rsidR="00DA0D4F" w:rsidRPr="003F0F36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M., </w:t>
            </w: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Zieliński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R., Konieczny B., </w:t>
            </w: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Krasowski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Okulski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J.: Open Rigid Internal Fixation of Low-Neck Condylar Fractures of the Mandible: Mechanical Comparison of 16 Plate Designs. </w:t>
            </w:r>
            <w:r w:rsidRPr="003F0F36">
              <w:rPr>
                <w:rFonts w:ascii="Times New Roman" w:eastAsia="Times New Roman" w:hAnsi="Times New Roman"/>
                <w:color w:val="000000"/>
                <w:lang w:val="en-US"/>
              </w:rPr>
              <w:t>Materials 2020, 13(8), 1953; https://doi.org/10.3390/ma13081953</w:t>
            </w:r>
          </w:p>
        </w:tc>
        <w:tc>
          <w:tcPr>
            <w:tcW w:w="992" w:type="dxa"/>
            <w:shd w:val="clear" w:color="auto" w:fill="auto"/>
            <w:hideMark/>
          </w:tcPr>
          <w:p w14:paraId="219FE9E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EDE22A2" w14:textId="7591144D" w:rsidR="00DA0D4F" w:rsidRPr="00DA0D4F" w:rsidRDefault="00901FF5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7AE36C2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329" w:type="dxa"/>
            <w:shd w:val="clear" w:color="auto" w:fill="auto"/>
            <w:hideMark/>
          </w:tcPr>
          <w:p w14:paraId="01B90311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39A5673F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08721B9" w14:textId="77777777" w:rsidR="00DA0D4F" w:rsidRPr="00DA0D4F" w:rsidRDefault="00DA0AC3" w:rsidP="00DA0D4F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hyperlink r:id="rId16" w:history="1">
              <w:r w:rsidR="00DA0D4F" w:rsidRPr="002A45B9">
                <w:rPr>
                  <w:rFonts w:ascii="Times New Roman" w:eastAsia="Times New Roman" w:hAnsi="Times New Roman"/>
                  <w:lang w:val="en-US"/>
                </w:rPr>
                <w:t xml:space="preserve">Zieliński B., Kozakiewicz M., Konieczny B., Krasowski M., Okulski J.: Mechanical evaluation of titanium plates for osteoesynthesis high neck condylar fracture of mandible. </w:t>
              </w:r>
              <w:r w:rsidR="00DA0D4F" w:rsidRPr="00DA0D4F">
                <w:rPr>
                  <w:rFonts w:ascii="Times New Roman" w:eastAsia="Times New Roman" w:hAnsi="Times New Roman"/>
                </w:rPr>
                <w:t>Materials 2020, 13, 3, 592; https://doi.org/10.3390/ma13030592</w:t>
              </w:r>
            </w:hyperlink>
          </w:p>
        </w:tc>
        <w:tc>
          <w:tcPr>
            <w:tcW w:w="992" w:type="dxa"/>
            <w:shd w:val="clear" w:color="auto" w:fill="auto"/>
            <w:hideMark/>
          </w:tcPr>
          <w:p w14:paraId="3B25919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B504B51" w14:textId="464C57CF" w:rsidR="00DA0D4F" w:rsidRPr="00DA0D4F" w:rsidRDefault="00901FF5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Pr="00901FF5">
              <w:rPr>
                <w:rFonts w:ascii="Times New Roman" w:eastAsia="Times New Roman" w:hAnsi="Times New Roman"/>
                <w:b/>
                <w:bCs/>
                <w:color w:val="000000"/>
              </w:rPr>
              <w:t>623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4266320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329" w:type="dxa"/>
            <w:shd w:val="clear" w:color="auto" w:fill="auto"/>
            <w:hideMark/>
          </w:tcPr>
          <w:p w14:paraId="6599001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2592FAF8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0E6A04F4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M.: Classification proposal for fractures of the </w:t>
            </w: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processus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condylaris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mandibulae.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Clin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Oral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Investig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2019; 23(1): 485-491.</w:t>
            </w:r>
          </w:p>
        </w:tc>
        <w:tc>
          <w:tcPr>
            <w:tcW w:w="992" w:type="dxa"/>
            <w:shd w:val="clear" w:color="auto" w:fill="auto"/>
            <w:hideMark/>
          </w:tcPr>
          <w:p w14:paraId="144CC44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6011D39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2,453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26F044B8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329" w:type="dxa"/>
            <w:shd w:val="clear" w:color="auto" w:fill="auto"/>
            <w:hideMark/>
          </w:tcPr>
          <w:p w14:paraId="6A890508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71BA7011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2B2C7A0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Zieliński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R., Kozakiewicz M., </w:t>
            </w: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Świniarski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J.: Comparison of Titanium and Bioresorbable Plates in “A” Shape Plate Properties—Finite Element Analysis.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>Materials (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Basel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), 2019, 12, 7, 1110 doi:10.3390/ma12071110</w:t>
            </w:r>
          </w:p>
        </w:tc>
        <w:tc>
          <w:tcPr>
            <w:tcW w:w="992" w:type="dxa"/>
            <w:shd w:val="clear" w:color="auto" w:fill="auto"/>
            <w:hideMark/>
          </w:tcPr>
          <w:p w14:paraId="6FA0FC3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DF7F76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2,972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7CDB4AB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329" w:type="dxa"/>
            <w:shd w:val="clear" w:color="auto" w:fill="auto"/>
            <w:hideMark/>
          </w:tcPr>
          <w:p w14:paraId="03CD301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18B591F8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3EB4773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Jurczyszyn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K, Kozakiewicz M.: Differential diagnosis of leukoplakia versus lichen planus of the oral mucosa based on digital texture analysis in intraoral photography.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Adv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Clin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Exp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Med. 2019. doi: 10.17219/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acem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/104524.</w:t>
            </w:r>
          </w:p>
        </w:tc>
        <w:tc>
          <w:tcPr>
            <w:tcW w:w="992" w:type="dxa"/>
            <w:shd w:val="clear" w:color="auto" w:fill="auto"/>
            <w:hideMark/>
          </w:tcPr>
          <w:p w14:paraId="4420CD9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397BBFEB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1,227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5B7E7EB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1329" w:type="dxa"/>
            <w:shd w:val="clear" w:color="auto" w:fill="auto"/>
            <w:hideMark/>
          </w:tcPr>
          <w:p w14:paraId="1ECF7B3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6E33161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08AD8D0C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Kozakiewicz M.: Comparison of compression screws used for mandible head fracture treatment-experimental study.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Clin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Oral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Investig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2019, 23, 11, 4059-4066.</w:t>
            </w:r>
          </w:p>
        </w:tc>
        <w:tc>
          <w:tcPr>
            <w:tcW w:w="992" w:type="dxa"/>
            <w:shd w:val="clear" w:color="auto" w:fill="auto"/>
            <w:hideMark/>
          </w:tcPr>
          <w:p w14:paraId="0508B07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3965C9E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2,453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10FF572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329" w:type="dxa"/>
            <w:shd w:val="clear" w:color="auto" w:fill="auto"/>
            <w:hideMark/>
          </w:tcPr>
          <w:p w14:paraId="2EBEF11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56F1C0FD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3299EF8" w14:textId="77777777" w:rsidR="00DA0D4F" w:rsidRPr="00185D85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>Szyszkowski</w:t>
            </w:r>
            <w:proofErr w:type="spellEnd"/>
            <w:r w:rsidRPr="002A45B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A., Kozakiewicz M.: Effect of implant-abutment connection type on bone around dental implants in long-term observation: internal cone versus internal hex. </w:t>
            </w:r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Implant Dent. 2019, 28, 5 (2), 112-119 </w:t>
            </w:r>
            <w:proofErr w:type="spellStart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doi</w:t>
            </w:r>
            <w:proofErr w:type="spellEnd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: 10.1097/ID.0000000000000905.</w:t>
            </w:r>
          </w:p>
        </w:tc>
        <w:tc>
          <w:tcPr>
            <w:tcW w:w="992" w:type="dxa"/>
            <w:shd w:val="clear" w:color="auto" w:fill="auto"/>
            <w:hideMark/>
          </w:tcPr>
          <w:p w14:paraId="3EC4425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A330BC9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1,214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6357C641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1329" w:type="dxa"/>
            <w:shd w:val="clear" w:color="auto" w:fill="auto"/>
            <w:hideMark/>
          </w:tcPr>
          <w:p w14:paraId="395D9A3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70C1079E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3858CAB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Zieliński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Krasowski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Okulski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J.: Forces causing one-millimeter displacement of bone fragments of condylar base fractures of the mandible after fixation by all available plate designs.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>Materials (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Basel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), 2019, 12, 19. E3122; doi:10.3390/ma12193122.</w:t>
            </w:r>
          </w:p>
        </w:tc>
        <w:tc>
          <w:tcPr>
            <w:tcW w:w="992" w:type="dxa"/>
            <w:shd w:val="clear" w:color="auto" w:fill="auto"/>
            <w:hideMark/>
          </w:tcPr>
          <w:p w14:paraId="05723F09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AE8F79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2,972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2670167B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329" w:type="dxa"/>
            <w:shd w:val="clear" w:color="auto" w:fill="auto"/>
            <w:hideMark/>
          </w:tcPr>
          <w:p w14:paraId="351B3B5C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28D0AADB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384E3860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Ordon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AJ, Kozakiewicz M,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Wilczyński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P.: The influence of concomitant medial wall fracture on the results of orbital floor reconstruction.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2018,46, 573-577.</w:t>
            </w:r>
          </w:p>
        </w:tc>
        <w:tc>
          <w:tcPr>
            <w:tcW w:w="992" w:type="dxa"/>
            <w:shd w:val="clear" w:color="auto" w:fill="auto"/>
            <w:hideMark/>
          </w:tcPr>
          <w:p w14:paraId="2BD59E0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D1B721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1,942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60F5B5F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4D53F451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127F45FC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F8AA3FC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Kozakiewicz M.: Small diameter compression screw, completely submerged within bone, for rigid internal fixation of the condylar head of the mandible.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Br 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Oral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2018, 56, 1, 74-76.</w:t>
            </w:r>
          </w:p>
        </w:tc>
        <w:tc>
          <w:tcPr>
            <w:tcW w:w="992" w:type="dxa"/>
            <w:shd w:val="clear" w:color="auto" w:fill="auto"/>
            <w:hideMark/>
          </w:tcPr>
          <w:p w14:paraId="24C1B73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369F7DF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1,164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1FAF7E2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329" w:type="dxa"/>
            <w:shd w:val="clear" w:color="auto" w:fill="auto"/>
            <w:hideMark/>
          </w:tcPr>
          <w:p w14:paraId="2A86DAA9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1DEA49D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D7FF8CF" w14:textId="77777777" w:rsidR="00DA0D4F" w:rsidRPr="00185D85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Dowgierd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Borowiec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Kozakiewicz M.: Bone changes on lateral cephalograms and CBCT during treatment of maxillary narrowing using palatal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osteodistraction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with bone-anchored appliances. </w:t>
            </w:r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J </w:t>
            </w:r>
            <w:proofErr w:type="spellStart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Craniomaxillofac</w:t>
            </w:r>
            <w:proofErr w:type="spellEnd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Surg. 2018, 46, 12, 2069-2081.</w:t>
            </w:r>
          </w:p>
        </w:tc>
        <w:tc>
          <w:tcPr>
            <w:tcW w:w="992" w:type="dxa"/>
            <w:shd w:val="clear" w:color="auto" w:fill="auto"/>
            <w:hideMark/>
          </w:tcPr>
          <w:p w14:paraId="61791C5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7E418BF9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1,942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33A3C32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2C824DA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1D3DF2BF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0943FFF5" w14:textId="40E48A01" w:rsidR="00DA0D4F" w:rsidRPr="00DA0D4F" w:rsidRDefault="00DA0AC3" w:rsidP="00DA0D4F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hyperlink r:id="rId17" w:history="1">
              <w:r w:rsidR="00DA0D4F" w:rsidRPr="00DA0D4F">
                <w:rPr>
                  <w:rFonts w:ascii="Times New Roman" w:eastAsia="Times New Roman" w:hAnsi="Times New Roman"/>
                </w:rPr>
                <w:t xml:space="preserve">Marcin Kozakiewicz, Leszek Olbrzymek, Ludomir Stefanczyk, Marek Olszycki, Piotr Komorowski, Bogdan Walkowiak, Bartłomiej Konieczny, Michał Krasowski, Jerzy Sokołowski: Radio-opaque polyethylene for personalized craniomaxillofacial implants. </w:t>
              </w:r>
              <w:r w:rsidR="00DA0D4F" w:rsidRPr="00A32570">
                <w:rPr>
                  <w:rFonts w:ascii="Times New Roman" w:eastAsia="Times New Roman" w:hAnsi="Times New Roman"/>
                  <w:lang w:val="en-US"/>
                </w:rPr>
                <w:t>Clin Oral Investig. 2017, 21, 5, 1853-1859 http://rdcu.be/lD4W</w:t>
              </w:r>
            </w:hyperlink>
            <w:r w:rsidR="00A32570" w:rsidRPr="00A32570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14:paraId="10BF21B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F7D1671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2,386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4CD29FE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474E2DC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artykuł</w:t>
            </w:r>
          </w:p>
        </w:tc>
      </w:tr>
      <w:tr w:rsidR="00DA0D4F" w:rsidRPr="00DA0D4F" w14:paraId="5E47C338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C96549D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Zieliński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R., </w:t>
            </w: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Malińska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M., Kozakiewicz M.: Classical versus custom orbital wall reconstruction: Selected factors regarding surgery and hospitalization. </w:t>
            </w:r>
            <w:r w:rsidRPr="00DA0D4F">
              <w:rPr>
                <w:rFonts w:ascii="Times New Roman" w:eastAsia="Times New Roman" w:hAnsi="Times New Roman"/>
                <w:color w:val="333333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Craniomaxillofacial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>. 2017;45(5):710-715.</w:t>
            </w:r>
          </w:p>
        </w:tc>
        <w:tc>
          <w:tcPr>
            <w:tcW w:w="992" w:type="dxa"/>
            <w:shd w:val="clear" w:color="auto" w:fill="auto"/>
            <w:hideMark/>
          </w:tcPr>
          <w:p w14:paraId="5E38F2F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49CD9EC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1,96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7052441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1F0A03F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2F50B0EE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02193209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Szymor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P., Kozakiewicz M.: Modification of orbital retractor to facilitate the insertion of orbital wall implants. </w:t>
            </w:r>
            <w:r w:rsidRPr="00DA0D4F">
              <w:rPr>
                <w:rFonts w:ascii="Times New Roman" w:eastAsia="Times New Roman" w:hAnsi="Times New Roman"/>
                <w:color w:val="333333"/>
              </w:rPr>
              <w:t xml:space="preserve">Br J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Oral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 xml:space="preserve"> 2017, 55, 6, 633-634.</w:t>
            </w:r>
          </w:p>
        </w:tc>
        <w:tc>
          <w:tcPr>
            <w:tcW w:w="992" w:type="dxa"/>
            <w:shd w:val="clear" w:color="auto" w:fill="auto"/>
            <w:hideMark/>
          </w:tcPr>
          <w:p w14:paraId="1BA12BF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112021B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1,26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18B9129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329" w:type="dxa"/>
            <w:shd w:val="clear" w:color="auto" w:fill="auto"/>
            <w:hideMark/>
          </w:tcPr>
          <w:p w14:paraId="0F0AE06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65757ECC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4379044C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M., Tomasz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Wach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T.,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Szymor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Zieliński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R.: Two different techniques of manufacturing TMJ replacements - A technical report.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. 2017;45(9):1432-1437 </w:t>
            </w:r>
          </w:p>
        </w:tc>
        <w:tc>
          <w:tcPr>
            <w:tcW w:w="992" w:type="dxa"/>
            <w:shd w:val="clear" w:color="auto" w:fill="auto"/>
            <w:hideMark/>
          </w:tcPr>
          <w:p w14:paraId="14A6B1E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5A0399AC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1,96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572B428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31A36C1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0BEE520B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78E41E8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Hadrowicz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Hadrowicz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J, Kozakiewicz M,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Gesing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A.: Assessment of Parathyroid Hormone Serum Level as a Predictor for Bone Condition Around Dental Implants.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Int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Oral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Implants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2017;32(4):e207-e212.</w:t>
            </w:r>
          </w:p>
        </w:tc>
        <w:tc>
          <w:tcPr>
            <w:tcW w:w="992" w:type="dxa"/>
            <w:shd w:val="clear" w:color="auto" w:fill="auto"/>
            <w:hideMark/>
          </w:tcPr>
          <w:p w14:paraId="57834D6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33D466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1,699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40C1C889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65370CA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73CA3DBE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40A3EE54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Olszewski R.,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Szymor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Kozakiewicz M.: Accuracy of open-source software segmentation and paper-based printed three-dimensional models.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2016;44:202-209.</w:t>
            </w:r>
          </w:p>
        </w:tc>
        <w:tc>
          <w:tcPr>
            <w:tcW w:w="992" w:type="dxa"/>
            <w:shd w:val="clear" w:color="auto" w:fill="auto"/>
            <w:hideMark/>
          </w:tcPr>
          <w:p w14:paraId="6BFAEFD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14D1124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1,583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33B8218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39EA7D0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4CB8C4C0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4AC64F9" w14:textId="77777777" w:rsidR="00DA0D4F" w:rsidRPr="00185D85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 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Olszycki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Elgalal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Majos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Stefanczyk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L.: in vitro and in vivo imaging of ultrahigh molecular weight polyethylene orbital implants. </w:t>
            </w:r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Int. J. Oral </w:t>
            </w:r>
            <w:proofErr w:type="spellStart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Maxillofac</w:t>
            </w:r>
            <w:proofErr w:type="spellEnd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Impl</w:t>
            </w:r>
            <w:proofErr w:type="spellEnd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. 2015, 30, 2, e24-e29.</w:t>
            </w:r>
          </w:p>
        </w:tc>
        <w:tc>
          <w:tcPr>
            <w:tcW w:w="992" w:type="dxa"/>
            <w:shd w:val="clear" w:color="auto" w:fill="auto"/>
            <w:hideMark/>
          </w:tcPr>
          <w:p w14:paraId="04AA67BF" w14:textId="77777777" w:rsidR="00DA0D4F" w:rsidRPr="00185D85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85D85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85AC23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1,631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6CD95174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329" w:type="dxa"/>
            <w:shd w:val="clear" w:color="auto" w:fill="auto"/>
            <w:hideMark/>
          </w:tcPr>
          <w:p w14:paraId="6816C60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514B352F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760E665" w14:textId="54FA90BF" w:rsidR="00DA0D4F" w:rsidRPr="00AB7946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Kłysik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A., Kozakiewicz M.: </w:t>
            </w:r>
            <w:r w:rsidR="00AB7946" w:rsidRPr="00AB794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Blood-aqueous barrier integrity </w:t>
            </w: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in patients with Graves’ Ophthalmopathy (GO), before and after rehabilitative surgery. </w:t>
            </w:r>
            <w:r w:rsidRPr="00AB7946">
              <w:rPr>
                <w:rFonts w:ascii="Times New Roman" w:eastAsia="Times New Roman" w:hAnsi="Times New Roman"/>
                <w:color w:val="000000"/>
                <w:lang w:val="en-US"/>
              </w:rPr>
              <w:t>Eye (</w:t>
            </w:r>
            <w:proofErr w:type="spellStart"/>
            <w:r w:rsidRPr="00AB7946">
              <w:rPr>
                <w:rFonts w:ascii="Times New Roman" w:eastAsia="Times New Roman" w:hAnsi="Times New Roman"/>
                <w:color w:val="000000"/>
                <w:lang w:val="en-US"/>
              </w:rPr>
              <w:t>Lond</w:t>
            </w:r>
            <w:proofErr w:type="spellEnd"/>
            <w:r w:rsidRPr="00AB7946">
              <w:rPr>
                <w:rFonts w:ascii="Times New Roman" w:eastAsia="Times New Roman" w:hAnsi="Times New Roman"/>
                <w:color w:val="000000"/>
                <w:lang w:val="en-US"/>
              </w:rPr>
              <w:t>), 2015, 29, 4, 542-551. ISSN: 0950-222X</w:t>
            </w:r>
          </w:p>
        </w:tc>
        <w:tc>
          <w:tcPr>
            <w:tcW w:w="992" w:type="dxa"/>
            <w:shd w:val="clear" w:color="auto" w:fill="auto"/>
            <w:hideMark/>
          </w:tcPr>
          <w:p w14:paraId="0B73991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6CC3FBF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2,213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35A6F87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6195F7AB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343F54CF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4D4432A7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Michalska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M.,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Bodek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A., </w:t>
            </w: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Bodek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KH.: Estimation of the use of fibrin and collage membranes as carriers for platelet-derived growth factor-BB (PDGF-BB) in the presence of amoxicillin. </w:t>
            </w:r>
            <w:r w:rsidRPr="00DA0D4F">
              <w:rPr>
                <w:rFonts w:ascii="Times New Roman" w:eastAsia="Times New Roman" w:hAnsi="Times New Roman"/>
                <w:color w:val="333333"/>
              </w:rPr>
              <w:t xml:space="preserve">Indian J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Biochem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Biophys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>, 2015, 52, 196-202.</w:t>
            </w:r>
          </w:p>
        </w:tc>
        <w:tc>
          <w:tcPr>
            <w:tcW w:w="992" w:type="dxa"/>
            <w:shd w:val="clear" w:color="auto" w:fill="auto"/>
            <w:hideMark/>
          </w:tcPr>
          <w:p w14:paraId="4C57FDB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6AC650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0,958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7EAC0BA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329" w:type="dxa"/>
            <w:shd w:val="clear" w:color="auto" w:fill="auto"/>
            <w:hideMark/>
          </w:tcPr>
          <w:p w14:paraId="29476D78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0A9447A0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0CB2F03F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Broniarczyk-Loba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A.: </w:t>
            </w:r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Surgical management of </w:t>
            </w:r>
            <w:proofErr w:type="spellStart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>upgaze</w:t>
            </w:r>
            <w:proofErr w:type="spellEnd"/>
            <w:r w:rsidRPr="005F54BC">
              <w:rPr>
                <w:rFonts w:ascii="Times New Roman" w:eastAsia="Times New Roman" w:hAnsi="Times New Roman"/>
                <w:color w:val="333333"/>
                <w:lang w:val="en-US"/>
              </w:rPr>
              <w:t xml:space="preserve"> diplopia in patients after posttraumatic orbital floor reconstruction. </w:t>
            </w:r>
            <w:r w:rsidRPr="00DA0D4F">
              <w:rPr>
                <w:rFonts w:ascii="Times New Roman" w:eastAsia="Times New Roman" w:hAnsi="Times New Roman"/>
                <w:color w:val="333333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333333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333333"/>
              </w:rPr>
              <w:t>, 2015, 43, 6, 976-980.</w:t>
            </w:r>
          </w:p>
        </w:tc>
        <w:tc>
          <w:tcPr>
            <w:tcW w:w="992" w:type="dxa"/>
            <w:shd w:val="clear" w:color="auto" w:fill="auto"/>
            <w:hideMark/>
          </w:tcPr>
          <w:p w14:paraId="47B7465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D12BDA4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1,592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3302195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7292F37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36616650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13779B63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 xml:space="preserve">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Kołaciński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Materka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A.: Textural entropy as a potential feature for quantitative assessment of jaw bone healing process.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Arch.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Med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Sci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2015, 16; 11(1): 78-84.</w:t>
            </w:r>
          </w:p>
        </w:tc>
        <w:tc>
          <w:tcPr>
            <w:tcW w:w="992" w:type="dxa"/>
            <w:shd w:val="clear" w:color="auto" w:fill="auto"/>
            <w:hideMark/>
          </w:tcPr>
          <w:p w14:paraId="6E90D95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5EEB72C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1,812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71F5E16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329" w:type="dxa"/>
            <w:shd w:val="clear" w:color="auto" w:fill="auto"/>
            <w:hideMark/>
          </w:tcPr>
          <w:p w14:paraId="00D63FFC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7FC111E3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1D24CAC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Chaberek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Bogusiak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K.: Using fractal dimension to evaluate alveolar bone defects treated with various bone substitute materials.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Centr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Eur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J Med., 2014 DOI: 10.2478/s11536-013-0197-y</w:t>
            </w:r>
          </w:p>
        </w:tc>
        <w:tc>
          <w:tcPr>
            <w:tcW w:w="992" w:type="dxa"/>
            <w:shd w:val="clear" w:color="auto" w:fill="auto"/>
            <w:hideMark/>
          </w:tcPr>
          <w:p w14:paraId="1BD4149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3227925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0,153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3326F6F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329" w:type="dxa"/>
            <w:shd w:val="clear" w:color="auto" w:fill="auto"/>
            <w:hideMark/>
          </w:tcPr>
          <w:p w14:paraId="78DE35C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08F3A6E7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CD83D82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 Computer-aided orbital wall defects treatment by individual design ultrahigh molecular weight polyethylene implants.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2014; 42, 283-289.</w:t>
            </w:r>
          </w:p>
        </w:tc>
        <w:tc>
          <w:tcPr>
            <w:tcW w:w="992" w:type="dxa"/>
            <w:shd w:val="clear" w:color="auto" w:fill="auto"/>
            <w:hideMark/>
          </w:tcPr>
          <w:p w14:paraId="7EBC6A6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1D4C05BC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2,933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0884B5D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6641E4C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26280B3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0656AD42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Swiniarski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J.: "A" shape plate for open rigid internal fixation of mandible condyle neck fracture.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2014, 42, 6, 730-737.</w:t>
            </w:r>
          </w:p>
        </w:tc>
        <w:tc>
          <w:tcPr>
            <w:tcW w:w="992" w:type="dxa"/>
            <w:shd w:val="clear" w:color="auto" w:fill="auto"/>
            <w:hideMark/>
          </w:tcPr>
          <w:p w14:paraId="46417F7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59C2C9F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2,933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20CA361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0889B66C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0AEC4C79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72BBB159" w14:textId="77777777" w:rsidR="00DA0D4F" w:rsidRPr="00185D85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Olszewski R.,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Szymor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Kozakiewicz M.: Accuracy of three-dimensional, paper-based models generated using a low-cost, three-dimensional printer. </w:t>
            </w:r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J </w:t>
            </w:r>
            <w:proofErr w:type="spellStart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Craniomaxillofac</w:t>
            </w:r>
            <w:proofErr w:type="spellEnd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Surg. 2014;42(8):1847-1852.</w:t>
            </w:r>
          </w:p>
        </w:tc>
        <w:tc>
          <w:tcPr>
            <w:tcW w:w="992" w:type="dxa"/>
            <w:shd w:val="clear" w:color="auto" w:fill="auto"/>
            <w:hideMark/>
          </w:tcPr>
          <w:p w14:paraId="258F9A8B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1128A00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2,933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5E90556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622A46D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68EA7CC4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63E716F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Jazwiecka-Koscielniak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E, Kozakiewicz M.: A new modification of the individually designed polymer implant visible in X-ray for orbital reconstruction.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2014;42(7):1520-1529.</w:t>
            </w:r>
          </w:p>
        </w:tc>
        <w:tc>
          <w:tcPr>
            <w:tcW w:w="992" w:type="dxa"/>
            <w:shd w:val="clear" w:color="auto" w:fill="auto"/>
            <w:hideMark/>
          </w:tcPr>
          <w:p w14:paraId="449280FF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436B900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2,933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10812AC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1329" w:type="dxa"/>
            <w:shd w:val="clear" w:color="auto" w:fill="auto"/>
            <w:hideMark/>
          </w:tcPr>
          <w:p w14:paraId="4652935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14986807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6579B49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Kozakiewicz</w:t>
            </w:r>
            <w:r w:rsidRPr="005F54B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 xml:space="preserve"> </w:t>
            </w: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M,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Elgalal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 xml:space="preserve"> </w:t>
            </w: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M,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Walkowiak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 xml:space="preserve"> </w:t>
            </w: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B,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Stefanczyk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 xml:space="preserve"> </w:t>
            </w: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L.: Technical concept of patient-specific, ultrahigh molecular weight polyethylene, orbital wall implant.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2013. 41 (4): 282-290.</w:t>
            </w:r>
          </w:p>
        </w:tc>
        <w:tc>
          <w:tcPr>
            <w:tcW w:w="992" w:type="dxa"/>
            <w:shd w:val="clear" w:color="auto" w:fill="auto"/>
            <w:hideMark/>
          </w:tcPr>
          <w:p w14:paraId="09ED138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67127A2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2,597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4AE61EA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79322A94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366536C9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68347005" w14:textId="77777777" w:rsidR="00DA0D4F" w:rsidRPr="00185D85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Szymor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P.: Comparison of pre-bent titanium mesh versus polyethylene implants in patient specific orbital reconstructions. </w:t>
            </w:r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Head &amp; Face Medicine. 2013, 9: 32, 1-7. DOI: 10.1186/1746-160X-9-32</w:t>
            </w:r>
          </w:p>
        </w:tc>
        <w:tc>
          <w:tcPr>
            <w:tcW w:w="992" w:type="dxa"/>
            <w:shd w:val="clear" w:color="auto" w:fill="auto"/>
            <w:hideMark/>
          </w:tcPr>
          <w:p w14:paraId="3EBA5FC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EF87D8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0,867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6DF56F86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329" w:type="dxa"/>
            <w:shd w:val="clear" w:color="auto" w:fill="auto"/>
            <w:hideMark/>
          </w:tcPr>
          <w:p w14:paraId="7BC457B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447C4F5D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F8B524E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Kozakiewicz M,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Szymor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P, Olszewski R. Three dimensional paper models experimental validation in vitro.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Int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J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Oral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Elsevier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; 2013; 42, 10: 1256–1257.</w:t>
            </w:r>
          </w:p>
        </w:tc>
        <w:tc>
          <w:tcPr>
            <w:tcW w:w="992" w:type="dxa"/>
            <w:shd w:val="clear" w:color="auto" w:fill="auto"/>
            <w:hideMark/>
          </w:tcPr>
          <w:p w14:paraId="0EE14A1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73E3057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1,359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675605F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6A2FBD41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2AACAD42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3FE255B4" w14:textId="77777777" w:rsidR="00DA0D4F" w:rsidRPr="00185D85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Elgalal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Broniarczyk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Stefańczyk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L.: Treatment with individual orbital wall implants in human – one year ophthalmological observation. </w:t>
            </w:r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J </w:t>
            </w:r>
            <w:proofErr w:type="spellStart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Craniomaxillofac</w:t>
            </w:r>
            <w:proofErr w:type="spellEnd"/>
            <w:r w:rsidRPr="00185D85">
              <w:rPr>
                <w:rFonts w:ascii="Times New Roman" w:eastAsia="Times New Roman" w:hAnsi="Times New Roman"/>
                <w:color w:val="000000"/>
                <w:lang w:val="en-US"/>
              </w:rPr>
              <w:t>. Surg., 2011, 39, 30-36.</w:t>
            </w:r>
          </w:p>
        </w:tc>
        <w:tc>
          <w:tcPr>
            <w:tcW w:w="992" w:type="dxa"/>
            <w:shd w:val="clear" w:color="auto" w:fill="auto"/>
            <w:hideMark/>
          </w:tcPr>
          <w:p w14:paraId="68FEA923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CABA040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1,643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2F2F6662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329" w:type="dxa"/>
            <w:shd w:val="clear" w:color="auto" w:fill="auto"/>
            <w:hideMark/>
          </w:tcPr>
          <w:p w14:paraId="48777AB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0D9F61E5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BB5AB23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Elgalal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Walkowiak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B.,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Olszycki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Stefańczyk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L.: Patient specific implants, designed using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Rapied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Prototyping and diagnostic imaging, for the repair of orbital fractures.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Med.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Sci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 Monit., 2010, 16, supl.1, 75-79.</w:t>
            </w:r>
          </w:p>
        </w:tc>
        <w:tc>
          <w:tcPr>
            <w:tcW w:w="992" w:type="dxa"/>
            <w:shd w:val="clear" w:color="auto" w:fill="auto"/>
            <w:hideMark/>
          </w:tcPr>
          <w:p w14:paraId="7373315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25387EF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1,699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036CAC85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1329" w:type="dxa"/>
            <w:shd w:val="clear" w:color="auto" w:fill="auto"/>
            <w:hideMark/>
          </w:tcPr>
          <w:p w14:paraId="7B232069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39E759F3" w14:textId="77777777" w:rsidTr="00DA0D4F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281EF84F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Kozakiewicz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Elgalal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Komuński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Arkuszewski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P.,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Broniarczyk-Loba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A., </w:t>
            </w:r>
            <w:proofErr w:type="spellStart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>Stefańczyk</w:t>
            </w:r>
            <w:proofErr w:type="spellEnd"/>
            <w:r w:rsidRPr="005F54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L.: Clinical application of 3D pre-bent titanium implants for orbital floor fractures. </w:t>
            </w:r>
            <w:r w:rsidRPr="00DA0D4F">
              <w:rPr>
                <w:rFonts w:ascii="Times New Roman" w:eastAsia="Times New Roman" w:hAnsi="Times New Roman"/>
                <w:color w:val="000000"/>
              </w:rPr>
              <w:t xml:space="preserve">J.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Craniomaxillofac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DA0D4F">
              <w:rPr>
                <w:rFonts w:ascii="Times New Roman" w:eastAsia="Times New Roman" w:hAnsi="Times New Roman"/>
                <w:color w:val="000000"/>
              </w:rPr>
              <w:t>Surg</w:t>
            </w:r>
            <w:proofErr w:type="spellEnd"/>
            <w:r w:rsidRPr="00DA0D4F">
              <w:rPr>
                <w:rFonts w:ascii="Times New Roman" w:eastAsia="Times New Roman" w:hAnsi="Times New Roman"/>
                <w:color w:val="000000"/>
              </w:rPr>
              <w:t>., 2009, 37, 229-234.</w:t>
            </w:r>
          </w:p>
        </w:tc>
        <w:tc>
          <w:tcPr>
            <w:tcW w:w="992" w:type="dxa"/>
            <w:shd w:val="clear" w:color="auto" w:fill="auto"/>
            <w:hideMark/>
          </w:tcPr>
          <w:p w14:paraId="4728B98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hideMark/>
          </w:tcPr>
          <w:p w14:paraId="006341AD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A0D4F">
              <w:rPr>
                <w:rFonts w:ascii="Times New Roman" w:eastAsia="Times New Roman" w:hAnsi="Times New Roman"/>
                <w:b/>
                <w:bCs/>
              </w:rPr>
              <w:t>1,252</w:t>
            </w:r>
          </w:p>
        </w:tc>
        <w:tc>
          <w:tcPr>
            <w:tcW w:w="939" w:type="dxa"/>
            <w:shd w:val="thinReverseDiagStripe" w:color="FFFF00" w:fill="auto"/>
            <w:hideMark/>
          </w:tcPr>
          <w:p w14:paraId="7ADB2917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329" w:type="dxa"/>
            <w:shd w:val="clear" w:color="auto" w:fill="auto"/>
            <w:hideMark/>
          </w:tcPr>
          <w:p w14:paraId="44C44DBE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000000"/>
              </w:rPr>
              <w:t>artykuł</w:t>
            </w:r>
          </w:p>
        </w:tc>
      </w:tr>
      <w:tr w:rsidR="00DA0D4F" w:rsidRPr="00DA0D4F" w14:paraId="2456F959" w14:textId="77777777" w:rsidTr="002A45B9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5E1F1EF9" w14:textId="6620EE0B" w:rsidR="00DA0D4F" w:rsidRPr="00DA0D4F" w:rsidRDefault="00F87104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Kozakiewicz M.: Złamania wyrostków kłykciowych żuchwy. PZWL, Warszawa, 2019. </w:t>
            </w:r>
            <w:r w:rsidRPr="00F87104">
              <w:rPr>
                <w:rFonts w:ascii="Times New Roman" w:eastAsia="Times New Roman" w:hAnsi="Times New Roman"/>
                <w:color w:val="000000"/>
              </w:rPr>
              <w:t>ISBN: 978-83-200-5778-2</w:t>
            </w:r>
          </w:p>
        </w:tc>
        <w:tc>
          <w:tcPr>
            <w:tcW w:w="992" w:type="dxa"/>
            <w:shd w:val="clear" w:color="auto" w:fill="auto"/>
          </w:tcPr>
          <w:p w14:paraId="6AF42832" w14:textId="29AFE72F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3B6FC07" w14:textId="2CF76379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39" w:type="dxa"/>
            <w:shd w:val="thinReverseDiagStripe" w:color="FFFF00" w:fill="auto"/>
          </w:tcPr>
          <w:p w14:paraId="0DEF67BF" w14:textId="4A1F4719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</w:tcPr>
          <w:p w14:paraId="346BBDA4" w14:textId="07D67A52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A0D4F" w:rsidRPr="00DA0D4F" w14:paraId="58AEECC4" w14:textId="77777777" w:rsidTr="002A45B9">
        <w:trPr>
          <w:cantSplit/>
          <w:trHeight w:val="20"/>
        </w:trPr>
        <w:tc>
          <w:tcPr>
            <w:tcW w:w="10627" w:type="dxa"/>
            <w:shd w:val="clear" w:color="auto" w:fill="auto"/>
          </w:tcPr>
          <w:p w14:paraId="37A88AB9" w14:textId="61B3263A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7DEA84F" w14:textId="284B095E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3EBB505" w14:textId="4FC7350D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39" w:type="dxa"/>
            <w:shd w:val="thinReverseDiagStripe" w:color="FFFF00" w:fill="auto"/>
          </w:tcPr>
          <w:p w14:paraId="548C3DE2" w14:textId="4B3BCA28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</w:tcPr>
          <w:p w14:paraId="232EE25E" w14:textId="54CCADFE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A0D4F" w:rsidRPr="00DA0D4F" w14:paraId="57DCD5B7" w14:textId="77777777" w:rsidTr="006D732B">
        <w:trPr>
          <w:cantSplit/>
          <w:trHeight w:val="20"/>
        </w:trPr>
        <w:tc>
          <w:tcPr>
            <w:tcW w:w="10627" w:type="dxa"/>
            <w:shd w:val="clear" w:color="auto" w:fill="auto"/>
            <w:hideMark/>
          </w:tcPr>
          <w:p w14:paraId="49BDF305" w14:textId="77777777" w:rsidR="00DA0D4F" w:rsidRPr="00DA0D4F" w:rsidRDefault="00DA0D4F" w:rsidP="00DA0D4F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>SUMA</w:t>
            </w:r>
          </w:p>
        </w:tc>
        <w:tc>
          <w:tcPr>
            <w:tcW w:w="992" w:type="dxa"/>
            <w:shd w:val="clear" w:color="auto" w:fill="auto"/>
            <w:hideMark/>
          </w:tcPr>
          <w:p w14:paraId="1720DC2A" w14:textId="77777777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DA0D4F">
              <w:rPr>
                <w:rFonts w:ascii="Times New Roman" w:eastAsia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2AAE676" w14:textId="402423D8" w:rsidR="00DA0D4F" w:rsidRPr="006D732B" w:rsidRDefault="006D732B" w:rsidP="006D732B">
            <w:pPr>
              <w:ind w:firstLine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128,294</w:t>
            </w:r>
          </w:p>
        </w:tc>
        <w:tc>
          <w:tcPr>
            <w:tcW w:w="939" w:type="dxa"/>
            <w:shd w:val="thinReverseDiagStripe" w:color="FFFF00" w:fill="auto"/>
          </w:tcPr>
          <w:p w14:paraId="51582757" w14:textId="4C31BE29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329" w:type="dxa"/>
            <w:shd w:val="clear" w:color="auto" w:fill="auto"/>
          </w:tcPr>
          <w:p w14:paraId="3DEA12B7" w14:textId="44ECD199" w:rsidR="00DA0D4F" w:rsidRPr="00DA0D4F" w:rsidRDefault="00DA0D4F" w:rsidP="00DA0D4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</w:tr>
    </w:tbl>
    <w:p w14:paraId="4DFFA226" w14:textId="77777777" w:rsidR="005600FA" w:rsidRPr="005600FA" w:rsidRDefault="005600FA" w:rsidP="005600FA"/>
    <w:p w14:paraId="62FC6F62" w14:textId="77777777" w:rsidR="005600FA" w:rsidRPr="005600FA" w:rsidRDefault="005600FA" w:rsidP="005600FA"/>
    <w:p w14:paraId="0949EBCE" w14:textId="77777777" w:rsidR="005600FA" w:rsidRPr="005600FA" w:rsidRDefault="005600FA" w:rsidP="005600FA"/>
    <w:p w14:paraId="73E7F235" w14:textId="77777777" w:rsidR="005600FA" w:rsidRPr="005600FA" w:rsidRDefault="005600FA" w:rsidP="005600FA"/>
    <w:p w14:paraId="2443DA2F" w14:textId="77777777" w:rsidR="005600FA" w:rsidRPr="005600FA" w:rsidRDefault="005600FA" w:rsidP="005600FA"/>
    <w:p w14:paraId="5A160B86" w14:textId="77777777" w:rsidR="00CB09CA" w:rsidRPr="006B628D" w:rsidRDefault="006B628D" w:rsidP="006B628D">
      <w:pPr>
        <w:ind w:firstLine="0"/>
        <w:jc w:val="right"/>
      </w:pPr>
      <w:r w:rsidRPr="006B628D">
        <w:t xml:space="preserve">mgr </w:t>
      </w:r>
      <w:r w:rsidR="00E42B45">
        <w:t xml:space="preserve">Ewa </w:t>
      </w:r>
      <w:proofErr w:type="spellStart"/>
      <w:r w:rsidR="00E42B45">
        <w:t>Fidelus</w:t>
      </w:r>
      <w:proofErr w:type="spellEnd"/>
    </w:p>
    <w:p w14:paraId="1AC4F457" w14:textId="77777777" w:rsidR="006B628D" w:rsidRPr="006B628D" w:rsidRDefault="006B628D" w:rsidP="006B628D">
      <w:pPr>
        <w:ind w:firstLine="0"/>
        <w:jc w:val="right"/>
      </w:pPr>
      <w:r w:rsidRPr="006B628D">
        <w:t xml:space="preserve">Oddział Bibliografii i </w:t>
      </w:r>
      <w:proofErr w:type="spellStart"/>
      <w:r w:rsidRPr="006B628D">
        <w:t>Bibliometrii</w:t>
      </w:r>
      <w:proofErr w:type="spellEnd"/>
    </w:p>
    <w:p w14:paraId="10DE6D39" w14:textId="77777777" w:rsidR="006B628D" w:rsidRPr="006B628D" w:rsidRDefault="006B628D" w:rsidP="006B628D">
      <w:pPr>
        <w:ind w:firstLine="0"/>
        <w:jc w:val="right"/>
      </w:pPr>
      <w:r w:rsidRPr="006B628D">
        <w:t>Uniwersytetu Medycznego w Łodzi</w:t>
      </w:r>
    </w:p>
    <w:p w14:paraId="4010DF5A" w14:textId="77777777" w:rsidR="006B628D" w:rsidRPr="006B628D" w:rsidRDefault="006B628D" w:rsidP="006B628D">
      <w:pPr>
        <w:ind w:firstLine="0"/>
        <w:jc w:val="right"/>
      </w:pPr>
      <w:r w:rsidRPr="006B628D">
        <w:t>punktacja@umed.lodz.pl</w:t>
      </w:r>
    </w:p>
    <w:sectPr w:rsidR="006B628D" w:rsidRPr="006B628D" w:rsidSect="002F29E8">
      <w:footerReference w:type="default" r:id="rId18"/>
      <w:headerReference w:type="first" r:id="rId19"/>
      <w:footerReference w:type="first" r:id="rId20"/>
      <w:pgSz w:w="16838" w:h="11906" w:orient="landscape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B23B" w14:textId="77777777" w:rsidR="00DA0AC3" w:rsidRDefault="00DA0AC3" w:rsidP="00566DCD">
      <w:r>
        <w:separator/>
      </w:r>
    </w:p>
  </w:endnote>
  <w:endnote w:type="continuationSeparator" w:id="0">
    <w:p w14:paraId="1994B715" w14:textId="77777777" w:rsidR="00DA0AC3" w:rsidRDefault="00DA0AC3" w:rsidP="0056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CFF1" w14:textId="77777777" w:rsidR="00411C0A" w:rsidRDefault="00411C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3F70">
      <w:rPr>
        <w:noProof/>
      </w:rPr>
      <w:t>2</w:t>
    </w:r>
    <w:r>
      <w:fldChar w:fldCharType="end"/>
    </w:r>
    <w:r>
      <w:t xml:space="preserve"> z </w:t>
    </w:r>
    <w:r w:rsidR="00DA0AC3">
      <w:fldChar w:fldCharType="begin"/>
    </w:r>
    <w:r w:rsidR="00DA0AC3">
      <w:instrText xml:space="preserve"> NUMPAGES   \* MERGEFORMAT </w:instrText>
    </w:r>
    <w:r w:rsidR="00DA0AC3">
      <w:fldChar w:fldCharType="separate"/>
    </w:r>
    <w:r w:rsidR="00263F70">
      <w:rPr>
        <w:noProof/>
      </w:rPr>
      <w:t>25</w:t>
    </w:r>
    <w:r w:rsidR="00DA0AC3">
      <w:rPr>
        <w:noProof/>
      </w:rPr>
      <w:fldChar w:fldCharType="end"/>
    </w:r>
  </w:p>
  <w:p w14:paraId="228406A7" w14:textId="77777777" w:rsidR="00411C0A" w:rsidRDefault="00411C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F936" w14:textId="77777777" w:rsidR="00411C0A" w:rsidRDefault="00411C0A" w:rsidP="002F29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3F70">
      <w:rPr>
        <w:noProof/>
      </w:rPr>
      <w:t>1</w:t>
    </w:r>
    <w:r>
      <w:fldChar w:fldCharType="end"/>
    </w:r>
    <w:r>
      <w:t xml:space="preserve"> z </w:t>
    </w:r>
    <w:r w:rsidR="00DA0AC3">
      <w:fldChar w:fldCharType="begin"/>
    </w:r>
    <w:r w:rsidR="00DA0AC3">
      <w:instrText xml:space="preserve"> NUMPAGES   \* MERGEFORMAT </w:instrText>
    </w:r>
    <w:r w:rsidR="00DA0AC3">
      <w:fldChar w:fldCharType="separate"/>
    </w:r>
    <w:r w:rsidR="00263F70">
      <w:rPr>
        <w:noProof/>
      </w:rPr>
      <w:t>25</w:t>
    </w:r>
    <w:r w:rsidR="00DA0A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52C5" w14:textId="77777777" w:rsidR="00DA0AC3" w:rsidRDefault="00DA0AC3" w:rsidP="00566DCD">
      <w:r>
        <w:separator/>
      </w:r>
    </w:p>
  </w:footnote>
  <w:footnote w:type="continuationSeparator" w:id="0">
    <w:p w14:paraId="364004D7" w14:textId="77777777" w:rsidR="00DA0AC3" w:rsidRDefault="00DA0AC3" w:rsidP="0056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5B8C" w14:textId="77777777" w:rsidR="00411C0A" w:rsidRPr="009302FA" w:rsidRDefault="00411C0A" w:rsidP="002F29E8">
    <w:pPr>
      <w:pStyle w:val="Nagwek"/>
      <w:rPr>
        <w:szCs w:val="18"/>
      </w:rPr>
    </w:pPr>
    <w:r>
      <w:rPr>
        <w:noProof/>
      </w:rPr>
      <w:drawing>
        <wp:inline distT="0" distB="0" distL="0" distR="0" wp14:anchorId="1CA4C837" wp14:editId="78A1B0D5">
          <wp:extent cx="1981200" cy="677545"/>
          <wp:effectExtent l="0" t="0" r="0" b="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ABED6" w14:textId="77777777" w:rsidR="00411C0A" w:rsidRDefault="00411C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46"/>
    <w:rsid w:val="00000B32"/>
    <w:rsid w:val="000048A3"/>
    <w:rsid w:val="0002282D"/>
    <w:rsid w:val="000404ED"/>
    <w:rsid w:val="00051581"/>
    <w:rsid w:val="00090110"/>
    <w:rsid w:val="000A61D5"/>
    <w:rsid w:val="000A7202"/>
    <w:rsid w:val="000C1351"/>
    <w:rsid w:val="000C2A91"/>
    <w:rsid w:val="000C2B7C"/>
    <w:rsid w:val="000C6088"/>
    <w:rsid w:val="000F0B10"/>
    <w:rsid w:val="001011F2"/>
    <w:rsid w:val="001069EF"/>
    <w:rsid w:val="00112CE0"/>
    <w:rsid w:val="001220CD"/>
    <w:rsid w:val="00141A92"/>
    <w:rsid w:val="00185D85"/>
    <w:rsid w:val="00193BD1"/>
    <w:rsid w:val="001B44C8"/>
    <w:rsid w:val="001B7446"/>
    <w:rsid w:val="001D2ABF"/>
    <w:rsid w:val="001D4C83"/>
    <w:rsid w:val="001D74D1"/>
    <w:rsid w:val="001D7742"/>
    <w:rsid w:val="001E2DF6"/>
    <w:rsid w:val="00203715"/>
    <w:rsid w:val="0023190B"/>
    <w:rsid w:val="00256498"/>
    <w:rsid w:val="00263F70"/>
    <w:rsid w:val="00266D33"/>
    <w:rsid w:val="0027052F"/>
    <w:rsid w:val="0027161D"/>
    <w:rsid w:val="0029231D"/>
    <w:rsid w:val="00292AE6"/>
    <w:rsid w:val="002A1CB7"/>
    <w:rsid w:val="002A279B"/>
    <w:rsid w:val="002A45B9"/>
    <w:rsid w:val="002B2F54"/>
    <w:rsid w:val="002B74A9"/>
    <w:rsid w:val="002C22F4"/>
    <w:rsid w:val="002F29E8"/>
    <w:rsid w:val="00316557"/>
    <w:rsid w:val="003473EF"/>
    <w:rsid w:val="00361A63"/>
    <w:rsid w:val="00365972"/>
    <w:rsid w:val="00373929"/>
    <w:rsid w:val="00387DA1"/>
    <w:rsid w:val="0039748B"/>
    <w:rsid w:val="003A3F56"/>
    <w:rsid w:val="003B3522"/>
    <w:rsid w:val="003B410B"/>
    <w:rsid w:val="003C439E"/>
    <w:rsid w:val="003D5459"/>
    <w:rsid w:val="003E57BC"/>
    <w:rsid w:val="003E5AB6"/>
    <w:rsid w:val="003F0F36"/>
    <w:rsid w:val="004032D5"/>
    <w:rsid w:val="00411C0A"/>
    <w:rsid w:val="00442061"/>
    <w:rsid w:val="00446AB9"/>
    <w:rsid w:val="00454A3D"/>
    <w:rsid w:val="004646D6"/>
    <w:rsid w:val="00482438"/>
    <w:rsid w:val="00483063"/>
    <w:rsid w:val="004B39BD"/>
    <w:rsid w:val="004C1055"/>
    <w:rsid w:val="004E31B6"/>
    <w:rsid w:val="004F5885"/>
    <w:rsid w:val="004F59DB"/>
    <w:rsid w:val="0050079B"/>
    <w:rsid w:val="00514097"/>
    <w:rsid w:val="0052113A"/>
    <w:rsid w:val="0055693D"/>
    <w:rsid w:val="005600FA"/>
    <w:rsid w:val="00560C28"/>
    <w:rsid w:val="00565ED9"/>
    <w:rsid w:val="00566DCD"/>
    <w:rsid w:val="00567767"/>
    <w:rsid w:val="00572E49"/>
    <w:rsid w:val="005859BA"/>
    <w:rsid w:val="005B0EFB"/>
    <w:rsid w:val="005B1FC5"/>
    <w:rsid w:val="005E5587"/>
    <w:rsid w:val="005F54BC"/>
    <w:rsid w:val="005F6415"/>
    <w:rsid w:val="005F6A72"/>
    <w:rsid w:val="00602760"/>
    <w:rsid w:val="00603085"/>
    <w:rsid w:val="00610B28"/>
    <w:rsid w:val="00617F49"/>
    <w:rsid w:val="00622D44"/>
    <w:rsid w:val="00631E0A"/>
    <w:rsid w:val="00633602"/>
    <w:rsid w:val="006345A5"/>
    <w:rsid w:val="00635FF1"/>
    <w:rsid w:val="006473E6"/>
    <w:rsid w:val="00670744"/>
    <w:rsid w:val="00677A34"/>
    <w:rsid w:val="00681E35"/>
    <w:rsid w:val="00691C36"/>
    <w:rsid w:val="006B628D"/>
    <w:rsid w:val="006D732B"/>
    <w:rsid w:val="006D7750"/>
    <w:rsid w:val="006F25C0"/>
    <w:rsid w:val="006F4F90"/>
    <w:rsid w:val="006F5AFC"/>
    <w:rsid w:val="006F5EDA"/>
    <w:rsid w:val="006F7752"/>
    <w:rsid w:val="007334DB"/>
    <w:rsid w:val="00735557"/>
    <w:rsid w:val="00737A5B"/>
    <w:rsid w:val="00747ADF"/>
    <w:rsid w:val="00751ED7"/>
    <w:rsid w:val="00754A8E"/>
    <w:rsid w:val="00755963"/>
    <w:rsid w:val="00757DD3"/>
    <w:rsid w:val="0076150A"/>
    <w:rsid w:val="00772D48"/>
    <w:rsid w:val="007974E9"/>
    <w:rsid w:val="007A563B"/>
    <w:rsid w:val="007B3B04"/>
    <w:rsid w:val="007C140B"/>
    <w:rsid w:val="007C2C21"/>
    <w:rsid w:val="007D22FA"/>
    <w:rsid w:val="007E0D29"/>
    <w:rsid w:val="007E393D"/>
    <w:rsid w:val="007F0EC6"/>
    <w:rsid w:val="007F7C29"/>
    <w:rsid w:val="00803909"/>
    <w:rsid w:val="008320CD"/>
    <w:rsid w:val="00842481"/>
    <w:rsid w:val="00847E1A"/>
    <w:rsid w:val="0085197A"/>
    <w:rsid w:val="0086105A"/>
    <w:rsid w:val="008631E3"/>
    <w:rsid w:val="00865550"/>
    <w:rsid w:val="008729D0"/>
    <w:rsid w:val="00873AFC"/>
    <w:rsid w:val="008765FA"/>
    <w:rsid w:val="008948E5"/>
    <w:rsid w:val="008D239D"/>
    <w:rsid w:val="008D3D94"/>
    <w:rsid w:val="00900C53"/>
    <w:rsid w:val="00901FF5"/>
    <w:rsid w:val="0091409A"/>
    <w:rsid w:val="00993367"/>
    <w:rsid w:val="009A21DF"/>
    <w:rsid w:val="009B10E0"/>
    <w:rsid w:val="009B521C"/>
    <w:rsid w:val="009D0267"/>
    <w:rsid w:val="009E0A64"/>
    <w:rsid w:val="009F2F56"/>
    <w:rsid w:val="009F46A5"/>
    <w:rsid w:val="009F7128"/>
    <w:rsid w:val="00A0516F"/>
    <w:rsid w:val="00A134B6"/>
    <w:rsid w:val="00A15931"/>
    <w:rsid w:val="00A16AEA"/>
    <w:rsid w:val="00A31A15"/>
    <w:rsid w:val="00A32570"/>
    <w:rsid w:val="00A43AEB"/>
    <w:rsid w:val="00A50439"/>
    <w:rsid w:val="00A57469"/>
    <w:rsid w:val="00A837C3"/>
    <w:rsid w:val="00A842FA"/>
    <w:rsid w:val="00AB2897"/>
    <w:rsid w:val="00AB7946"/>
    <w:rsid w:val="00AD7905"/>
    <w:rsid w:val="00AF23C6"/>
    <w:rsid w:val="00AF54A9"/>
    <w:rsid w:val="00B276E4"/>
    <w:rsid w:val="00B334CE"/>
    <w:rsid w:val="00B36728"/>
    <w:rsid w:val="00B66585"/>
    <w:rsid w:val="00B67877"/>
    <w:rsid w:val="00BA0129"/>
    <w:rsid w:val="00BA1030"/>
    <w:rsid w:val="00BC4F1D"/>
    <w:rsid w:val="00BD0F8F"/>
    <w:rsid w:val="00BE1DB1"/>
    <w:rsid w:val="00BE2046"/>
    <w:rsid w:val="00BF43AD"/>
    <w:rsid w:val="00C16B3F"/>
    <w:rsid w:val="00C222EC"/>
    <w:rsid w:val="00C33E35"/>
    <w:rsid w:val="00C4632F"/>
    <w:rsid w:val="00C53531"/>
    <w:rsid w:val="00C87488"/>
    <w:rsid w:val="00C904CD"/>
    <w:rsid w:val="00C92F82"/>
    <w:rsid w:val="00C95636"/>
    <w:rsid w:val="00C96BE0"/>
    <w:rsid w:val="00CA1984"/>
    <w:rsid w:val="00CB09CA"/>
    <w:rsid w:val="00CC14A8"/>
    <w:rsid w:val="00CD4420"/>
    <w:rsid w:val="00CD4FAA"/>
    <w:rsid w:val="00CD5134"/>
    <w:rsid w:val="00D00F79"/>
    <w:rsid w:val="00D0242D"/>
    <w:rsid w:val="00D05EC0"/>
    <w:rsid w:val="00D14168"/>
    <w:rsid w:val="00D17187"/>
    <w:rsid w:val="00D24C69"/>
    <w:rsid w:val="00D2679F"/>
    <w:rsid w:val="00D30AC5"/>
    <w:rsid w:val="00D352DD"/>
    <w:rsid w:val="00D56236"/>
    <w:rsid w:val="00D63932"/>
    <w:rsid w:val="00D664A9"/>
    <w:rsid w:val="00D94C76"/>
    <w:rsid w:val="00DA0AC3"/>
    <w:rsid w:val="00DA0D4F"/>
    <w:rsid w:val="00DB51FD"/>
    <w:rsid w:val="00DB5B09"/>
    <w:rsid w:val="00DC0A52"/>
    <w:rsid w:val="00DD691D"/>
    <w:rsid w:val="00DF0C7B"/>
    <w:rsid w:val="00E02D58"/>
    <w:rsid w:val="00E26854"/>
    <w:rsid w:val="00E32CF6"/>
    <w:rsid w:val="00E42B45"/>
    <w:rsid w:val="00E44119"/>
    <w:rsid w:val="00E4490C"/>
    <w:rsid w:val="00E4498B"/>
    <w:rsid w:val="00E47516"/>
    <w:rsid w:val="00E501A4"/>
    <w:rsid w:val="00E65818"/>
    <w:rsid w:val="00E702A7"/>
    <w:rsid w:val="00E738B2"/>
    <w:rsid w:val="00E76606"/>
    <w:rsid w:val="00E84C7E"/>
    <w:rsid w:val="00E97834"/>
    <w:rsid w:val="00EA19FF"/>
    <w:rsid w:val="00EA6D7E"/>
    <w:rsid w:val="00EB346D"/>
    <w:rsid w:val="00EB5ABA"/>
    <w:rsid w:val="00EB664F"/>
    <w:rsid w:val="00ED40A7"/>
    <w:rsid w:val="00F07733"/>
    <w:rsid w:val="00F22A5F"/>
    <w:rsid w:val="00F22EB2"/>
    <w:rsid w:val="00F276D5"/>
    <w:rsid w:val="00F35C48"/>
    <w:rsid w:val="00F62C3D"/>
    <w:rsid w:val="00F639A4"/>
    <w:rsid w:val="00F854B8"/>
    <w:rsid w:val="00F87104"/>
    <w:rsid w:val="00F914CA"/>
    <w:rsid w:val="00FA3926"/>
    <w:rsid w:val="00FA3D70"/>
    <w:rsid w:val="00FB245A"/>
    <w:rsid w:val="00FD6F2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78C7"/>
  <w15:docId w15:val="{46CBE0C4-22D4-47DF-B3F5-2B781BCC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6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DCD"/>
  </w:style>
  <w:style w:type="paragraph" w:styleId="Stopka">
    <w:name w:val="footer"/>
    <w:basedOn w:val="Normalny"/>
    <w:link w:val="StopkaZnak"/>
    <w:uiPriority w:val="99"/>
    <w:unhideWhenUsed/>
    <w:rsid w:val="00566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CD"/>
  </w:style>
  <w:style w:type="paragraph" w:styleId="Tekstdymka">
    <w:name w:val="Balloon Text"/>
    <w:basedOn w:val="Normalny"/>
    <w:link w:val="TekstdymkaZnak"/>
    <w:uiPriority w:val="99"/>
    <w:semiHidden/>
    <w:unhideWhenUsed/>
    <w:rsid w:val="00E84C7E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4C7E"/>
    <w:rPr>
      <w:rFonts w:cs="Tahoma"/>
      <w:sz w:val="16"/>
      <w:szCs w:val="16"/>
    </w:rPr>
  </w:style>
  <w:style w:type="character" w:styleId="Hipercze">
    <w:name w:val="Hyperlink"/>
    <w:unhideWhenUsed/>
    <w:rsid w:val="00F914C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914CA"/>
    <w:rPr>
      <w:color w:val="800080"/>
      <w:u w:val="single"/>
    </w:rPr>
  </w:style>
  <w:style w:type="paragraph" w:customStyle="1" w:styleId="xl65">
    <w:name w:val="xl65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66">
    <w:name w:val="xl66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68">
    <w:name w:val="xl68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70">
    <w:name w:val="xl70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71">
    <w:name w:val="xl71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FFFF00" w:fill="auto"/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72">
    <w:name w:val="xl72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73">
    <w:name w:val="xl73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74">
    <w:name w:val="xl74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color w:val="FF0000"/>
      <w:sz w:val="18"/>
      <w:szCs w:val="18"/>
    </w:rPr>
  </w:style>
  <w:style w:type="paragraph" w:customStyle="1" w:styleId="xl75">
    <w:name w:val="xl75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FFFF00" w:fill="auto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76">
    <w:name w:val="xl76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ny"/>
    <w:rsid w:val="00A504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78">
    <w:name w:val="xl78"/>
    <w:basedOn w:val="Normalny"/>
    <w:rsid w:val="00A50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79">
    <w:name w:val="xl79"/>
    <w:basedOn w:val="Normalny"/>
    <w:rsid w:val="00A50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FFFF00" w:fill="auto"/>
      <w:spacing w:before="100" w:beforeAutospacing="1" w:after="100" w:afterAutospacing="1"/>
      <w:ind w:firstLine="0"/>
      <w:jc w:val="center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81">
    <w:name w:val="xl81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3">
    <w:name w:val="xl83"/>
    <w:basedOn w:val="Normalny"/>
    <w:rsid w:val="00A504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85">
    <w:name w:val="xl85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FFFF00" w:fill="auto"/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86">
    <w:name w:val="xl86"/>
    <w:basedOn w:val="Normalny"/>
    <w:rsid w:val="00A504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ny"/>
    <w:rsid w:val="00A50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ny"/>
    <w:rsid w:val="00A50439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alny"/>
    <w:rsid w:val="00F639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6">
    <w:name w:val="font6"/>
    <w:basedOn w:val="Normalny"/>
    <w:rsid w:val="00F639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7">
    <w:name w:val="font7"/>
    <w:basedOn w:val="Normalny"/>
    <w:rsid w:val="00F639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i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8">
    <w:name w:val="font8"/>
    <w:basedOn w:val="Normalny"/>
    <w:rsid w:val="00F639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i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89">
    <w:name w:val="xl89"/>
    <w:basedOn w:val="Normalny"/>
    <w:rsid w:val="00F63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nt9">
    <w:name w:val="font9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</w:rPr>
  </w:style>
  <w:style w:type="paragraph" w:customStyle="1" w:styleId="font10">
    <w:name w:val="font10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FF0000"/>
    </w:rPr>
  </w:style>
  <w:style w:type="paragraph" w:customStyle="1" w:styleId="font11">
    <w:name w:val="font11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FF0000"/>
    </w:rPr>
  </w:style>
  <w:style w:type="paragraph" w:customStyle="1" w:styleId="font12">
    <w:name w:val="font12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FF0000"/>
      <w:sz w:val="14"/>
      <w:szCs w:val="14"/>
    </w:rPr>
  </w:style>
  <w:style w:type="paragraph" w:customStyle="1" w:styleId="font13">
    <w:name w:val="font13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FF0000"/>
    </w:rPr>
  </w:style>
  <w:style w:type="paragraph" w:customStyle="1" w:styleId="font14">
    <w:name w:val="font14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Symbol" w:eastAsia="Times New Roman" w:hAnsi="Symbol"/>
      <w:color w:val="000000"/>
    </w:rPr>
  </w:style>
  <w:style w:type="paragraph" w:customStyle="1" w:styleId="font15">
    <w:name w:val="font15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000000"/>
      <w:sz w:val="19"/>
      <w:szCs w:val="19"/>
    </w:rPr>
  </w:style>
  <w:style w:type="paragraph" w:customStyle="1" w:styleId="font16">
    <w:name w:val="font16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FF0000"/>
      <w:sz w:val="19"/>
      <w:szCs w:val="19"/>
    </w:rPr>
  </w:style>
  <w:style w:type="paragraph" w:customStyle="1" w:styleId="font17">
    <w:name w:val="font17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FF0000"/>
      <w:sz w:val="19"/>
      <w:szCs w:val="19"/>
    </w:rPr>
  </w:style>
  <w:style w:type="paragraph" w:customStyle="1" w:styleId="font18">
    <w:name w:val="font18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color w:val="000000"/>
    </w:rPr>
  </w:style>
  <w:style w:type="paragraph" w:customStyle="1" w:styleId="font19">
    <w:name w:val="font19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</w:rPr>
  </w:style>
  <w:style w:type="paragraph" w:customStyle="1" w:styleId="font20">
    <w:name w:val="font20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FF0000"/>
    </w:rPr>
  </w:style>
  <w:style w:type="paragraph" w:customStyle="1" w:styleId="font21">
    <w:name w:val="font21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</w:rPr>
  </w:style>
  <w:style w:type="paragraph" w:customStyle="1" w:styleId="font22">
    <w:name w:val="font22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</w:rPr>
  </w:style>
  <w:style w:type="paragraph" w:customStyle="1" w:styleId="font23">
    <w:name w:val="font23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24">
    <w:name w:val="font24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2"/>
      <w:szCs w:val="22"/>
    </w:rPr>
  </w:style>
  <w:style w:type="paragraph" w:customStyle="1" w:styleId="font25">
    <w:name w:val="font25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</w:rPr>
  </w:style>
  <w:style w:type="paragraph" w:customStyle="1" w:styleId="font26">
    <w:name w:val="font26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27">
    <w:name w:val="font27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b/>
      <w:bCs/>
      <w:color w:val="FF0000"/>
      <w:sz w:val="19"/>
      <w:szCs w:val="19"/>
    </w:rPr>
  </w:style>
  <w:style w:type="paragraph" w:customStyle="1" w:styleId="font28">
    <w:name w:val="font28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29">
    <w:name w:val="font29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font30">
    <w:name w:val="font30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31">
    <w:name w:val="font31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32">
    <w:name w:val="font32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font33">
    <w:name w:val="font33"/>
    <w:basedOn w:val="Normalny"/>
    <w:rsid w:val="004032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0">
    <w:name w:val="xl90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2">
    <w:name w:val="xl92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xl93">
    <w:name w:val="xl93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95">
    <w:name w:val="xl95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96">
    <w:name w:val="xl96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FFFF00" w:fill="auto"/>
      <w:spacing w:before="100" w:beforeAutospacing="1" w:after="100" w:afterAutospacing="1"/>
      <w:ind w:firstLine="0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97">
    <w:name w:val="xl97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99">
    <w:name w:val="xl99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eastAsia="Times New Roman" w:hAnsi="Arial" w:cs="Arial"/>
    </w:rPr>
  </w:style>
  <w:style w:type="paragraph" w:customStyle="1" w:styleId="xl100">
    <w:name w:val="xl100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102">
    <w:name w:val="xl102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103">
    <w:name w:val="xl103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104">
    <w:name w:val="xl104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107">
    <w:name w:val="xl107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Arial" w:eastAsia="Times New Roman" w:hAnsi="Arial" w:cs="Arial"/>
    </w:rPr>
  </w:style>
  <w:style w:type="paragraph" w:customStyle="1" w:styleId="xl108">
    <w:name w:val="xl108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110">
    <w:name w:val="xl110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111">
    <w:name w:val="xl111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FFFF00" w:fill="FFFFFF"/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paragraph" w:customStyle="1" w:styleId="xl112">
    <w:name w:val="xl112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</w:rPr>
  </w:style>
  <w:style w:type="paragraph" w:customStyle="1" w:styleId="xl113">
    <w:name w:val="xl113"/>
    <w:basedOn w:val="Normalny"/>
    <w:rsid w:val="00403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581"/>
    <w:rPr>
      <w:rFonts w:ascii="Courier New" w:eastAsia="Times New Roman" w:hAnsi="Courier New" w:cs="Courier New"/>
    </w:rPr>
  </w:style>
  <w:style w:type="paragraph" w:customStyle="1" w:styleId="xl63">
    <w:name w:val="xl63"/>
    <w:basedOn w:val="Normalny"/>
    <w:rsid w:val="00847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zcionka tekstu podstawowego" w:eastAsia="Times New Roman" w:hAnsi="Czcionka tekstu podstawowego"/>
      <w:b/>
      <w:bCs/>
      <w:sz w:val="18"/>
      <w:szCs w:val="18"/>
    </w:rPr>
  </w:style>
  <w:style w:type="paragraph" w:customStyle="1" w:styleId="xl64">
    <w:name w:val="xl64"/>
    <w:basedOn w:val="Normalny"/>
    <w:rsid w:val="00847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Czcionka tekstu podstawowego" w:eastAsia="Times New Roman" w:hAnsi="Czcionka tekstu podstawowego"/>
      <w:b/>
      <w:bCs/>
      <w:sz w:val="24"/>
      <w:szCs w:val="24"/>
    </w:rPr>
  </w:style>
  <w:style w:type="character" w:customStyle="1" w:styleId="person-tytul">
    <w:name w:val="person-tytul"/>
    <w:basedOn w:val="Domylnaczcionkaakapitu"/>
    <w:rsid w:val="00AB2897"/>
  </w:style>
  <w:style w:type="character" w:customStyle="1" w:styleId="person-name">
    <w:name w:val="person-name"/>
    <w:basedOn w:val="Domylnaczcionkaakapitu"/>
    <w:rsid w:val="00AB2897"/>
  </w:style>
  <w:style w:type="paragraph" w:customStyle="1" w:styleId="msonormal0">
    <w:name w:val="msonormal"/>
    <w:basedOn w:val="Normalny"/>
    <w:rsid w:val="00E766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7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172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940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13163614" TargetMode="External"/><Relationship Id="rId13" Type="http://schemas.openxmlformats.org/officeDocument/2006/relationships/hyperlink" Target="https://doi.org/10.3390/ma14061388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390/ma13132935" TargetMode="External"/><Relationship Id="rId12" Type="http://schemas.openxmlformats.org/officeDocument/2006/relationships/hyperlink" Target="https://doi.org/10.3390/app11052176" TargetMode="External"/><Relationship Id="rId17" Type="http://schemas.openxmlformats.org/officeDocument/2006/relationships/hyperlink" Target="http://em.rdcu.be/wf/click?upn=KP7O1RED-2BlD0F9LDqGVeSJRq6ljJBRileNwQYl8SMk4-3D_nFXoKxeCBy36fnk9-2BlvVY8NEog6JUFOJJcB34JAs61qTzzOe4GUpX-2F4FVk0Q-2Fcc0IEXKutSGQLmL5vmrLJHFhdkvjj4s7nTARVsiR6PbVitmN4bp9rhUpEpc3bXWeVBIuvbSEqz8dW7PVhZ0BqOSyt33A7o00T5ERqzJwLRe3HVhgTczrl9WrH-2B6P0ar7Uhc-2Fr4HRigcaJVjPGAdJwEWAQ-3D-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390/ma13030592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doi.org/10.3390/ma13112641" TargetMode="External"/><Relationship Id="rId11" Type="http://schemas.openxmlformats.org/officeDocument/2006/relationships/hyperlink" Target="https://doi.org/10.3390/ma1404084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3390/jcm10112267" TargetMode="External"/><Relationship Id="rId10" Type="http://schemas.openxmlformats.org/officeDocument/2006/relationships/hyperlink" Target="https://doi.org/10.3390/ma1317385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3390/ma13163614" TargetMode="External"/><Relationship Id="rId14" Type="http://schemas.openxmlformats.org/officeDocument/2006/relationships/hyperlink" Target="https://do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1809</Words>
  <Characters>12254</Characters>
  <Application>Microsoft Office Word</Application>
  <DocSecurity>0</DocSecurity>
  <Lines>222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Marcin Kozakiewicz</cp:lastModifiedBy>
  <cp:revision>20</cp:revision>
  <cp:lastPrinted>2018-05-11T06:35:00Z</cp:lastPrinted>
  <dcterms:created xsi:type="dcterms:W3CDTF">2021-11-03T21:47:00Z</dcterms:created>
  <dcterms:modified xsi:type="dcterms:W3CDTF">2021-12-05T19:52:00Z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817044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